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0CBDB" w14:textId="4292E9E8" w:rsidR="00E90E49" w:rsidRPr="005E6104" w:rsidRDefault="00E90E49" w:rsidP="00E35559">
      <w:pPr>
        <w:pStyle w:val="3GPPHeader"/>
        <w:spacing w:after="60"/>
        <w:rPr>
          <w:sz w:val="32"/>
          <w:szCs w:val="32"/>
        </w:rPr>
      </w:pPr>
      <w:r w:rsidRPr="005E6104">
        <w:t>3GPP TSG-RAN WG</w:t>
      </w:r>
      <w:r w:rsidR="007730BD" w:rsidRPr="005E6104">
        <w:t>2</w:t>
      </w:r>
      <w:r w:rsidRPr="005E6104">
        <w:t xml:space="preserve"> #</w:t>
      </w:r>
      <w:r w:rsidR="00AE3743" w:rsidRPr="005E6104">
        <w:t>9</w:t>
      </w:r>
      <w:r w:rsidR="0060324F">
        <w:t>9</w:t>
      </w:r>
      <w:r w:rsidR="00433315">
        <w:t xml:space="preserve"> </w:t>
      </w:r>
      <w:r w:rsidRPr="005E6104">
        <w:tab/>
      </w:r>
      <w:r w:rsidRPr="005E6104">
        <w:rPr>
          <w:sz w:val="32"/>
          <w:szCs w:val="32"/>
        </w:rPr>
        <w:t xml:space="preserve">Tdoc </w:t>
      </w:r>
      <w:r w:rsidR="00D33F68" w:rsidRPr="00D33F68">
        <w:rPr>
          <w:sz w:val="32"/>
          <w:szCs w:val="32"/>
        </w:rPr>
        <w:t>R2-1708351</w:t>
      </w:r>
    </w:p>
    <w:p w14:paraId="3E35A30C" w14:textId="6F364A16" w:rsidR="00E90E49" w:rsidRPr="008658B9" w:rsidRDefault="0060324F" w:rsidP="00357380">
      <w:pPr>
        <w:pStyle w:val="3GPPHeader"/>
      </w:pPr>
      <w:r w:rsidRPr="008658B9">
        <w:t>Berlin</w:t>
      </w:r>
      <w:r w:rsidR="00AE3743" w:rsidRPr="008658B9">
        <w:t xml:space="preserve">, </w:t>
      </w:r>
      <w:r w:rsidRPr="008658B9">
        <w:t>Germany</w:t>
      </w:r>
      <w:r w:rsidR="00AE3743" w:rsidRPr="008658B9">
        <w:t xml:space="preserve">, </w:t>
      </w:r>
      <w:r w:rsidR="00433315" w:rsidRPr="008658B9">
        <w:t>2</w:t>
      </w:r>
      <w:r w:rsidRPr="008658B9">
        <w:t>1</w:t>
      </w:r>
      <w:r w:rsidR="00433315" w:rsidRPr="008658B9">
        <w:rPr>
          <w:vertAlign w:val="superscript"/>
        </w:rPr>
        <w:t>th</w:t>
      </w:r>
      <w:r w:rsidR="00433315" w:rsidRPr="008658B9">
        <w:t xml:space="preserve"> </w:t>
      </w:r>
      <w:r w:rsidR="00AE3743" w:rsidRPr="008658B9">
        <w:t xml:space="preserve">– </w:t>
      </w:r>
      <w:r w:rsidR="00433315" w:rsidRPr="008658B9">
        <w:t>2</w:t>
      </w:r>
      <w:r w:rsidRPr="008658B9">
        <w:t>5</w:t>
      </w:r>
      <w:r w:rsidR="00AE3743" w:rsidRPr="008658B9">
        <w:rPr>
          <w:vertAlign w:val="superscript"/>
        </w:rPr>
        <w:t>th</w:t>
      </w:r>
      <w:r w:rsidR="00AE3743" w:rsidRPr="008658B9">
        <w:t xml:space="preserve"> </w:t>
      </w:r>
      <w:r w:rsidRPr="008658B9">
        <w:t>August</w:t>
      </w:r>
      <w:r w:rsidR="00C544E1" w:rsidRPr="008658B9">
        <w:t xml:space="preserve"> </w:t>
      </w:r>
      <w:r w:rsidR="00AE3743" w:rsidRPr="008658B9">
        <w:t>2017</w:t>
      </w:r>
    </w:p>
    <w:p w14:paraId="2ABCE032" w14:textId="65A692DA" w:rsidR="00E90E49" w:rsidRPr="008658B9" w:rsidRDefault="00E90E49" w:rsidP="00311702">
      <w:pPr>
        <w:pStyle w:val="3GPPHeader"/>
      </w:pPr>
      <w:r w:rsidRPr="008658B9">
        <w:t>Agenda Item:</w:t>
      </w:r>
      <w:r w:rsidRPr="008658B9">
        <w:tab/>
      </w:r>
      <w:r w:rsidR="003E15AD" w:rsidRPr="008658B9">
        <w:t>10</w:t>
      </w:r>
      <w:r w:rsidR="00311702" w:rsidRPr="008658B9">
        <w:t>.</w:t>
      </w:r>
      <w:r w:rsidR="003E15AD" w:rsidRPr="008658B9">
        <w:t>3</w:t>
      </w:r>
      <w:r w:rsidR="00311702" w:rsidRPr="008658B9">
        <w:t>.</w:t>
      </w:r>
      <w:r w:rsidR="003E15AD" w:rsidRPr="008658B9">
        <w:t>1</w:t>
      </w:r>
      <w:r w:rsidR="00311702" w:rsidRPr="008658B9">
        <w:t>.</w:t>
      </w:r>
      <w:r w:rsidR="00433315" w:rsidRPr="008658B9">
        <w:t>8</w:t>
      </w:r>
    </w:p>
    <w:p w14:paraId="2AF1BA07" w14:textId="7B64A0B0" w:rsidR="00E90E49" w:rsidRPr="008658B9" w:rsidRDefault="003D3C45" w:rsidP="00F64C2B">
      <w:pPr>
        <w:pStyle w:val="3GPPHeader"/>
      </w:pPr>
      <w:r w:rsidRPr="008658B9">
        <w:t>Source:</w:t>
      </w:r>
      <w:r w:rsidR="00E90E49" w:rsidRPr="008658B9">
        <w:tab/>
      </w:r>
      <w:r w:rsidR="00F64C2B" w:rsidRPr="008658B9">
        <w:t>Ericsson</w:t>
      </w:r>
    </w:p>
    <w:p w14:paraId="167A6C8C" w14:textId="216EF6EC" w:rsidR="00E90E49" w:rsidRPr="008658B9" w:rsidRDefault="003D3C45" w:rsidP="00311702">
      <w:pPr>
        <w:pStyle w:val="3GPPHeader"/>
      </w:pPr>
      <w:r w:rsidRPr="008658B9">
        <w:t>Title:</w:t>
      </w:r>
      <w:r w:rsidR="00E90E49" w:rsidRPr="008658B9">
        <w:tab/>
      </w:r>
      <w:r w:rsidR="00907345" w:rsidRPr="008658B9">
        <w:t xml:space="preserve">SPS </w:t>
      </w:r>
      <w:r w:rsidR="00661341" w:rsidRPr="008658B9">
        <w:t>Enhancements</w:t>
      </w:r>
      <w:r w:rsidR="008306F8" w:rsidRPr="008658B9">
        <w:t xml:space="preserve"> </w:t>
      </w:r>
      <w:r w:rsidR="00907345" w:rsidRPr="008658B9">
        <w:t>in NR</w:t>
      </w:r>
    </w:p>
    <w:p w14:paraId="12861119" w14:textId="06FFDDAE" w:rsidR="00E90E49" w:rsidRPr="008658B9" w:rsidRDefault="00E90E49" w:rsidP="008A32DC">
      <w:pPr>
        <w:pStyle w:val="3GPPHeader"/>
      </w:pPr>
      <w:r w:rsidRPr="008658B9">
        <w:t>Document for:</w:t>
      </w:r>
      <w:r w:rsidRPr="008658B9">
        <w:tab/>
        <w:t>Discussion, Decision</w:t>
      </w:r>
    </w:p>
    <w:p w14:paraId="3C4AA58D" w14:textId="187EF18A" w:rsidR="00C24345" w:rsidRDefault="00E90E49" w:rsidP="00A2052C">
      <w:pPr>
        <w:pStyle w:val="Heading1"/>
      </w:pPr>
      <w:r w:rsidRPr="00CE0424">
        <w:t>Introduction</w:t>
      </w:r>
    </w:p>
    <w:p w14:paraId="7775C481" w14:textId="147CA508" w:rsidR="004208D1" w:rsidRPr="008658B9" w:rsidRDefault="004208D1" w:rsidP="00251B6B">
      <w:r w:rsidRPr="008658B9">
        <w:t xml:space="preserve">The relevant SPS agreements in RAN2-97bis </w:t>
      </w:r>
      <w:r w:rsidR="008C6FE5" w:rsidRPr="008658B9">
        <w:t>are</w:t>
      </w:r>
      <w:r w:rsidRPr="008658B9">
        <w:t xml:space="preserve"> highlighted as below</w:t>
      </w:r>
    </w:p>
    <w:p w14:paraId="5E100900" w14:textId="77777777" w:rsidR="004208D1" w:rsidRPr="008658B9" w:rsidRDefault="004208D1" w:rsidP="004208D1">
      <w:pPr>
        <w:pStyle w:val="Doc-text2"/>
        <w:pBdr>
          <w:top w:val="single" w:sz="4" w:space="1" w:color="auto"/>
          <w:left w:val="single" w:sz="4" w:space="4" w:color="auto"/>
          <w:bottom w:val="single" w:sz="4" w:space="1" w:color="auto"/>
          <w:right w:val="single" w:sz="4" w:space="4" w:color="auto"/>
        </w:pBdr>
        <w:tabs>
          <w:tab w:val="left" w:pos="450"/>
        </w:tabs>
        <w:rPr>
          <w:b/>
        </w:rPr>
      </w:pPr>
      <w:r w:rsidRPr="008658B9">
        <w:rPr>
          <w:b/>
        </w:rPr>
        <w:t>Agreements on SPS:</w:t>
      </w:r>
    </w:p>
    <w:p w14:paraId="28362E5A" w14:textId="77777777" w:rsidR="004208D1" w:rsidRPr="008658B9"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rsidRPr="008658B9">
        <w:t>-</w:t>
      </w:r>
      <w:r w:rsidRPr="008658B9">
        <w:tab/>
      </w:r>
      <w:r w:rsidRPr="00D33F68">
        <w:t>Like in legacy LTE, at least SPS period is configured by RRC</w:t>
      </w:r>
      <w:r w:rsidRPr="008658B9">
        <w:t xml:space="preserve">.  FFS how frequency resources, MCS, etc., for SPS are provided to the UE depends on RAN1 discussion. </w:t>
      </w:r>
    </w:p>
    <w:p w14:paraId="3D701E0D" w14:textId="77777777" w:rsidR="004208D1" w:rsidRPr="008658B9" w:rsidRDefault="004208D1" w:rsidP="004208D1">
      <w:pPr>
        <w:pStyle w:val="Doc-text2"/>
        <w:pBdr>
          <w:top w:val="single" w:sz="4" w:space="1" w:color="auto"/>
          <w:left w:val="single" w:sz="4" w:space="4" w:color="auto"/>
          <w:bottom w:val="single" w:sz="4" w:space="1" w:color="auto"/>
          <w:right w:val="single" w:sz="4" w:space="4" w:color="auto"/>
        </w:pBdr>
        <w:tabs>
          <w:tab w:val="left" w:pos="450"/>
        </w:tabs>
      </w:pPr>
      <w:r w:rsidRPr="008658B9">
        <w:t>-</w:t>
      </w:r>
      <w:r w:rsidRPr="008658B9">
        <w:tab/>
        <w:t xml:space="preserve">Working assumption:  Like in LTE, DRX behaviour with SPS UL should be to restart inactivity timer when UL data is transmitted, and not to restart when SPS UL grant is not used.  This behaviour depends on outcome of DRX design. </w:t>
      </w:r>
    </w:p>
    <w:p w14:paraId="34EF8987" w14:textId="0DE667A5" w:rsidR="006E1843" w:rsidRPr="008658B9" w:rsidRDefault="006E1843" w:rsidP="00251B6B">
      <w:r w:rsidRPr="008658B9">
        <w:t>In RAN2-98, there is FFS for multiple SPS configuration to support PDCP packet duplication</w:t>
      </w:r>
    </w:p>
    <w:p w14:paraId="5985E3F2" w14:textId="77777777" w:rsidR="006E1843" w:rsidRPr="008658B9" w:rsidRDefault="006E1843" w:rsidP="006E1843">
      <w:pPr>
        <w:pStyle w:val="Doc-text2"/>
        <w:pBdr>
          <w:top w:val="single" w:sz="4" w:space="1" w:color="auto"/>
          <w:left w:val="single" w:sz="4" w:space="4" w:color="auto"/>
          <w:bottom w:val="single" w:sz="4" w:space="1" w:color="auto"/>
          <w:right w:val="single" w:sz="4" w:space="4" w:color="auto"/>
        </w:pBdr>
      </w:pPr>
      <w:r w:rsidRPr="008658B9">
        <w:t xml:space="preserve">Agreements </w:t>
      </w:r>
    </w:p>
    <w:p w14:paraId="45C644A1" w14:textId="2AE99661" w:rsidR="006E1843" w:rsidRPr="008658B9" w:rsidRDefault="006E1843" w:rsidP="00D9088C">
      <w:pPr>
        <w:pStyle w:val="Doc-text2"/>
        <w:pBdr>
          <w:top w:val="single" w:sz="4" w:space="1" w:color="auto"/>
          <w:left w:val="single" w:sz="4" w:space="4" w:color="auto"/>
          <w:bottom w:val="single" w:sz="4" w:space="1" w:color="auto"/>
          <w:right w:val="single" w:sz="4" w:space="4" w:color="auto"/>
        </w:pBdr>
      </w:pPr>
      <w:r w:rsidRPr="008658B9">
        <w:t>1.</w:t>
      </w:r>
      <w:r w:rsidRPr="008658B9">
        <w:tab/>
      </w:r>
    </w:p>
    <w:p w14:paraId="6243BBD0" w14:textId="77777777" w:rsidR="006E1843" w:rsidRPr="008658B9" w:rsidRDefault="006E1843" w:rsidP="006E1843">
      <w:pPr>
        <w:pStyle w:val="Doc-text2"/>
        <w:pBdr>
          <w:top w:val="single" w:sz="4" w:space="1" w:color="auto"/>
          <w:left w:val="single" w:sz="4" w:space="4" w:color="auto"/>
          <w:bottom w:val="single" w:sz="4" w:space="1" w:color="auto"/>
          <w:right w:val="single" w:sz="4" w:space="4" w:color="auto"/>
        </w:pBdr>
      </w:pPr>
      <w:r w:rsidRPr="008658B9">
        <w:t>3.</w:t>
      </w:r>
      <w:r w:rsidRPr="008658B9">
        <w:tab/>
      </w:r>
      <w:r w:rsidRPr="00D33F68">
        <w:rPr>
          <w:u w:val="single"/>
        </w:rPr>
        <w:t>FFS is multiple SPS is supported for duplication</w:t>
      </w:r>
      <w:r w:rsidRPr="008658B9">
        <w:t xml:space="preserve"> or to support different numerologies</w:t>
      </w:r>
    </w:p>
    <w:p w14:paraId="5B2A235D" w14:textId="2D5D3A7E" w:rsidR="004208D1" w:rsidRPr="008658B9" w:rsidRDefault="006E1843" w:rsidP="00251B6B">
      <w:r w:rsidRPr="008658B9">
        <w:t>In RAN2-AH#2 2017, there is still FFS regarding the SPS configuration for a secondary cell:</w:t>
      </w:r>
    </w:p>
    <w:p w14:paraId="247FCE1B" w14:textId="77777777" w:rsidR="0060324F" w:rsidRPr="008658B9" w:rsidRDefault="0060324F" w:rsidP="0060324F">
      <w:pPr>
        <w:pStyle w:val="BodyText"/>
        <w:pBdr>
          <w:top w:val="single" w:sz="4" w:space="1" w:color="auto"/>
          <w:left w:val="single" w:sz="4" w:space="4" w:color="auto"/>
          <w:bottom w:val="single" w:sz="4" w:space="1" w:color="auto"/>
          <w:right w:val="single" w:sz="4" w:space="4" w:color="auto"/>
        </w:pBdr>
        <w:ind w:left="1259"/>
        <w:rPr>
          <w:rFonts w:eastAsia="SimSun"/>
        </w:rPr>
      </w:pPr>
      <w:r w:rsidRPr="008658B9">
        <w:rPr>
          <w:rFonts w:eastAsia="SimSun"/>
        </w:rPr>
        <w:t xml:space="preserve">Agreements </w:t>
      </w:r>
    </w:p>
    <w:p w14:paraId="5612AFCF" w14:textId="77777777" w:rsidR="0060324F" w:rsidRPr="008658B9" w:rsidRDefault="0060324F" w:rsidP="0060324F">
      <w:pPr>
        <w:pStyle w:val="Doc-text2"/>
        <w:pBdr>
          <w:top w:val="single" w:sz="4" w:space="1" w:color="auto"/>
          <w:left w:val="single" w:sz="4" w:space="4" w:color="auto"/>
          <w:bottom w:val="single" w:sz="4" w:space="1" w:color="auto"/>
          <w:right w:val="single" w:sz="4" w:space="4" w:color="auto"/>
        </w:pBdr>
        <w:rPr>
          <w:lang w:eastAsia="zh-CN"/>
        </w:rPr>
      </w:pPr>
      <w:r w:rsidRPr="008658B9">
        <w:rPr>
          <w:lang w:eastAsia="zh-CN"/>
        </w:rPr>
        <w:t>-</w:t>
      </w:r>
      <w:r w:rsidRPr="008658B9">
        <w:rPr>
          <w:lang w:eastAsia="zh-CN"/>
        </w:rPr>
        <w:tab/>
        <w:t xml:space="preserve">Multiple SPS for the same cell will not be supported.  </w:t>
      </w:r>
    </w:p>
    <w:p w14:paraId="25EF7569" w14:textId="77777777" w:rsidR="0060324F" w:rsidRPr="008658B9" w:rsidRDefault="0060324F" w:rsidP="0060324F">
      <w:pPr>
        <w:pStyle w:val="Doc-text2"/>
        <w:pBdr>
          <w:top w:val="single" w:sz="4" w:space="1" w:color="auto"/>
          <w:left w:val="single" w:sz="4" w:space="4" w:color="auto"/>
          <w:bottom w:val="single" w:sz="4" w:space="1" w:color="auto"/>
          <w:right w:val="single" w:sz="4" w:space="4" w:color="auto"/>
        </w:pBdr>
        <w:rPr>
          <w:lang w:eastAsia="zh-CN"/>
        </w:rPr>
      </w:pPr>
      <w:r w:rsidRPr="008658B9">
        <w:rPr>
          <w:lang w:eastAsia="zh-CN"/>
        </w:rPr>
        <w:t>-</w:t>
      </w:r>
      <w:r w:rsidRPr="008658B9">
        <w:rPr>
          <w:lang w:eastAsia="zh-CN"/>
        </w:rPr>
        <w:tab/>
        <w:t>SPS on PSCell will be supported</w:t>
      </w:r>
    </w:p>
    <w:p w14:paraId="6E78157C" w14:textId="77777777" w:rsidR="0060324F" w:rsidRPr="00D33F68" w:rsidRDefault="0060324F" w:rsidP="0060324F">
      <w:pPr>
        <w:pStyle w:val="Doc-text2"/>
        <w:pBdr>
          <w:top w:val="single" w:sz="4" w:space="1" w:color="auto"/>
          <w:left w:val="single" w:sz="4" w:space="4" w:color="auto"/>
          <w:bottom w:val="single" w:sz="4" w:space="1" w:color="auto"/>
          <w:right w:val="single" w:sz="4" w:space="4" w:color="auto"/>
        </w:pBdr>
        <w:rPr>
          <w:u w:val="single"/>
          <w:lang w:eastAsia="zh-CN"/>
        </w:rPr>
      </w:pPr>
      <w:r w:rsidRPr="00D33F68">
        <w:rPr>
          <w:u w:val="single"/>
          <w:lang w:eastAsia="zh-CN"/>
        </w:rPr>
        <w:t>FFS if SPS on SCell will be supported</w:t>
      </w:r>
    </w:p>
    <w:p w14:paraId="72ECDD8F" w14:textId="46ADFC5D" w:rsidR="00251B6B" w:rsidRPr="008658B9" w:rsidRDefault="004208D1" w:rsidP="00251B6B">
      <w:r w:rsidRPr="008658B9">
        <w:t xml:space="preserve">This paper further discusses </w:t>
      </w:r>
      <w:r w:rsidR="002330B3">
        <w:t>SPS configuration for a secondary cell</w:t>
      </w:r>
      <w:r w:rsidR="002177EF" w:rsidRPr="008658B9">
        <w:t xml:space="preserve"> </w:t>
      </w:r>
      <w:r w:rsidR="00646A65" w:rsidRPr="008658B9">
        <w:t xml:space="preserve">in </w:t>
      </w:r>
      <w:r w:rsidRPr="008658B9">
        <w:t>NR.</w:t>
      </w:r>
    </w:p>
    <w:p w14:paraId="19BBF656" w14:textId="3AB16ADB" w:rsidR="008B02AF" w:rsidRDefault="004000E8" w:rsidP="008B02AF">
      <w:pPr>
        <w:pStyle w:val="Heading1"/>
      </w:pPr>
      <w:bookmarkStart w:id="0" w:name="_Ref178064866"/>
      <w:r w:rsidRPr="00CE0424">
        <w:t>Discussion</w:t>
      </w:r>
      <w:bookmarkEnd w:id="0"/>
    </w:p>
    <w:p w14:paraId="5C5D05C3" w14:textId="4A23B0F9" w:rsidR="00251B6B" w:rsidRPr="008658B9" w:rsidRDefault="00C527D6" w:rsidP="00E625B9">
      <w:pPr>
        <w:pStyle w:val="BodyText"/>
      </w:pPr>
      <w:r w:rsidRPr="008658B9">
        <w:t>I</w:t>
      </w:r>
      <w:r w:rsidR="00AD24F5" w:rsidRPr="008658B9">
        <w:t>n LTE, f</w:t>
      </w:r>
      <w:r w:rsidR="0063664D" w:rsidRPr="008658B9">
        <w:t>or</w:t>
      </w:r>
      <w:r w:rsidR="00AD24F5" w:rsidRPr="008658B9">
        <w:t xml:space="preserve"> either</w:t>
      </w:r>
      <w:r w:rsidR="0063664D" w:rsidRPr="008658B9">
        <w:t xml:space="preserve"> UL</w:t>
      </w:r>
      <w:r w:rsidR="00AD24F5" w:rsidRPr="008658B9">
        <w:t xml:space="preserve"> or DL</w:t>
      </w:r>
      <w:r w:rsidR="0063664D" w:rsidRPr="008658B9">
        <w:t xml:space="preserve">, </w:t>
      </w:r>
      <w:r w:rsidR="00AD24F5" w:rsidRPr="008658B9">
        <w:t xml:space="preserve">there is at maximum </w:t>
      </w:r>
      <w:r w:rsidR="0063664D" w:rsidRPr="008658B9">
        <w:t xml:space="preserve">one SPS configuration </w:t>
      </w:r>
      <w:r w:rsidR="00AD24F5" w:rsidRPr="008658B9">
        <w:t>active per</w:t>
      </w:r>
      <w:r w:rsidR="004E3C41" w:rsidRPr="008658B9">
        <w:t xml:space="preserve"> UE</w:t>
      </w:r>
      <w:r w:rsidR="00AD24F5" w:rsidRPr="008658B9">
        <w:t xml:space="preserve">, which is signalled </w:t>
      </w:r>
      <w:r w:rsidR="004E3C41" w:rsidRPr="008658B9">
        <w:t>via RRC</w:t>
      </w:r>
      <w:r w:rsidR="0053694C" w:rsidRPr="008658B9">
        <w:rPr>
          <w:i/>
        </w:rPr>
        <w:t>.</w:t>
      </w:r>
      <w:r w:rsidR="00E625B9" w:rsidRPr="008658B9">
        <w:t xml:space="preserve"> </w:t>
      </w:r>
      <w:r w:rsidR="0060799E" w:rsidRPr="008658B9">
        <w:t>The</w:t>
      </w:r>
      <w:r w:rsidR="00E625B9" w:rsidRPr="008658B9">
        <w:t xml:space="preserve"> SPS configuration can be activated/deactivated via PDCCH </w:t>
      </w:r>
      <w:r w:rsidR="0060799E" w:rsidRPr="008658B9">
        <w:t>addressed with</w:t>
      </w:r>
      <w:r w:rsidR="00E625B9" w:rsidRPr="008658B9">
        <w:t xml:space="preserve"> Semi-Persistent Scheduling C-RNTI</w:t>
      </w:r>
      <w:r w:rsidR="0060799E" w:rsidRPr="008658B9">
        <w:t>.</w:t>
      </w:r>
    </w:p>
    <w:p w14:paraId="3EDF05A9" w14:textId="00B4AD4B" w:rsidR="00F75B1C" w:rsidRDefault="00B47C9C" w:rsidP="000C5D60">
      <w:pPr>
        <w:pStyle w:val="Observation"/>
      </w:pPr>
      <w:bookmarkStart w:id="1" w:name="_Toc481760137"/>
      <w:bookmarkStart w:id="2" w:name="_Toc481143670"/>
      <w:bookmarkStart w:id="3" w:name="_Toc481484777"/>
      <w:bookmarkStart w:id="4" w:name="_Toc481767641"/>
      <w:bookmarkStart w:id="5" w:name="_Toc481763351"/>
      <w:bookmarkStart w:id="6" w:name="_Toc481765261"/>
      <w:bookmarkStart w:id="7" w:name="_Toc487528386"/>
      <w:bookmarkStart w:id="8" w:name="_Toc490215369"/>
      <w:r w:rsidRPr="008658B9">
        <w:t xml:space="preserve">For </w:t>
      </w:r>
      <w:r w:rsidR="00EB48CB" w:rsidRPr="008658B9">
        <w:t xml:space="preserve">either </w:t>
      </w:r>
      <w:r w:rsidRPr="008658B9">
        <w:t xml:space="preserve">UL </w:t>
      </w:r>
      <w:r w:rsidR="00EB48CB" w:rsidRPr="008658B9">
        <w:t xml:space="preserve">or </w:t>
      </w:r>
      <w:r w:rsidRPr="008658B9">
        <w:t xml:space="preserve">DL in LTE, </w:t>
      </w:r>
      <w:r w:rsidR="00EB48CB" w:rsidRPr="008658B9">
        <w:t xml:space="preserve">up to </w:t>
      </w:r>
      <w:r w:rsidRPr="008658B9">
        <w:t>one respective</w:t>
      </w:r>
      <w:r w:rsidR="005E6104" w:rsidRPr="008658B9">
        <w:t xml:space="preserve"> </w:t>
      </w:r>
      <w:r w:rsidR="00E50214" w:rsidRPr="008658B9">
        <w:t>SPS</w:t>
      </w:r>
      <w:r w:rsidRPr="008658B9">
        <w:t xml:space="preserve"> configuration</w:t>
      </w:r>
      <w:r w:rsidR="00E50214" w:rsidRPr="008658B9">
        <w:t xml:space="preserve"> </w:t>
      </w:r>
      <w:r w:rsidRPr="008658B9">
        <w:t>can be configured for one UE</w:t>
      </w:r>
      <w:bookmarkEnd w:id="1"/>
      <w:r w:rsidR="00BE024D" w:rsidRPr="008658B9">
        <w:t xml:space="preserve"> per cell</w:t>
      </w:r>
      <w:bookmarkEnd w:id="2"/>
      <w:bookmarkEnd w:id="3"/>
      <w:bookmarkEnd w:id="4"/>
      <w:bookmarkEnd w:id="5"/>
      <w:r w:rsidR="005E6104" w:rsidRPr="008658B9">
        <w:t>.</w:t>
      </w:r>
      <w:bookmarkEnd w:id="6"/>
      <w:bookmarkEnd w:id="7"/>
      <w:bookmarkEnd w:id="8"/>
    </w:p>
    <w:p w14:paraId="6F83E82A" w14:textId="77777777" w:rsidR="002A45D6" w:rsidRPr="008658B9" w:rsidRDefault="002A45D6" w:rsidP="002A45D6"/>
    <w:p w14:paraId="0E3C1422" w14:textId="77777777" w:rsidR="00DB4B25" w:rsidRPr="008658B9" w:rsidRDefault="00EB48CB" w:rsidP="005E6104">
      <w:pPr>
        <w:pStyle w:val="BodyText"/>
      </w:pPr>
      <w:bookmarkStart w:id="9" w:name="_Toc481143671"/>
      <w:bookmarkStart w:id="10" w:name="_Toc481484778"/>
      <w:r w:rsidRPr="008658B9">
        <w:t>For LTE V2X Rel-14, a UE can be configured with up to 8 active SPS configurations per cell. However, the V2X use case is not included in NR phase 1. It means there is no similar use case or motivation in NR for the moment to support multiple SPS configurations for a UE per cell.</w:t>
      </w:r>
    </w:p>
    <w:p w14:paraId="65089BA9" w14:textId="6C95B852" w:rsidR="00DB4B25" w:rsidRPr="008658B9" w:rsidRDefault="00DB4B25" w:rsidP="00DB4B25">
      <w:pPr>
        <w:pStyle w:val="Observation"/>
      </w:pPr>
      <w:bookmarkStart w:id="11" w:name="_Toc481760138"/>
      <w:bookmarkStart w:id="12" w:name="_Toc481763352"/>
      <w:bookmarkStart w:id="13" w:name="_Toc481765262"/>
      <w:bookmarkStart w:id="14" w:name="_Toc487528387"/>
      <w:bookmarkStart w:id="15" w:name="_Toc490215370"/>
      <w:r w:rsidRPr="008658B9">
        <w:t>There is no use case/motivation similar as LTE V2X to support multiple SPS configurations for a UE per cell in NR</w:t>
      </w:r>
      <w:bookmarkEnd w:id="11"/>
      <w:bookmarkEnd w:id="12"/>
      <w:r w:rsidR="005E6104" w:rsidRPr="008658B9">
        <w:t>.</w:t>
      </w:r>
      <w:bookmarkEnd w:id="13"/>
      <w:bookmarkEnd w:id="14"/>
      <w:bookmarkEnd w:id="15"/>
    </w:p>
    <w:p w14:paraId="112A64DB" w14:textId="77777777" w:rsidR="002A45D6" w:rsidRDefault="002A45D6" w:rsidP="005E6104">
      <w:pPr>
        <w:pStyle w:val="BodyText"/>
      </w:pPr>
    </w:p>
    <w:p w14:paraId="42C044E7" w14:textId="3A7004A9" w:rsidR="00DB4B25" w:rsidRPr="008658B9" w:rsidRDefault="00DB4B25" w:rsidP="005E6104">
      <w:pPr>
        <w:pStyle w:val="BodyText"/>
      </w:pPr>
      <w:r w:rsidRPr="008658B9">
        <w:t>For LTE CA, there is also only 1 SPS configuratio</w:t>
      </w:r>
      <w:r w:rsidR="00250612" w:rsidRPr="008658B9">
        <w:t>n per UE in the primary cell. This</w:t>
      </w:r>
      <w:r w:rsidRPr="008658B9">
        <w:t xml:space="preserve"> is sufficient since it is seldom for a UE in CA to have 2 SPS services at the same time. </w:t>
      </w:r>
      <w:r w:rsidR="00E31028" w:rsidRPr="008658B9">
        <w:t>In addition</w:t>
      </w:r>
      <w:r w:rsidRPr="008658B9">
        <w:t xml:space="preserve">, cross-carrier </w:t>
      </w:r>
      <w:r w:rsidRPr="008658B9">
        <w:lastRenderedPageBreak/>
        <w:t xml:space="preserve">scheduling </w:t>
      </w:r>
      <w:r w:rsidR="008A32DC" w:rsidRPr="008658B9">
        <w:t>provides</w:t>
      </w:r>
      <w:r w:rsidRPr="008658B9">
        <w:t xml:space="preserve"> better flexibility and resource utilization than that with multiple SPS configurations. However, in NR, the situation is different </w:t>
      </w:r>
      <w:r w:rsidR="00C527D6" w:rsidRPr="008658B9">
        <w:t xml:space="preserve">in </w:t>
      </w:r>
      <w:r w:rsidRPr="008658B9">
        <w:t xml:space="preserve">that a UE may be configured with multiple TTI lengths/numerologies. Each carrier/cell </w:t>
      </w:r>
      <w:r w:rsidR="00C527D6" w:rsidRPr="008658B9">
        <w:t>may have</w:t>
      </w:r>
      <w:r w:rsidRPr="008658B9">
        <w:t xml:space="preserve"> different TTI length/numerology characteristic. </w:t>
      </w:r>
      <w:r w:rsidR="00C527D6" w:rsidRPr="008658B9">
        <w:t xml:space="preserve">It is </w:t>
      </w:r>
      <w:r w:rsidR="00250612" w:rsidRPr="008658B9">
        <w:t xml:space="preserve">thus </w:t>
      </w:r>
      <w:r w:rsidR="00C527D6" w:rsidRPr="008658B9">
        <w:t xml:space="preserve">more likely than in LTE that the UE </w:t>
      </w:r>
      <w:r w:rsidR="00250612" w:rsidRPr="008658B9">
        <w:t xml:space="preserve">benefits from </w:t>
      </w:r>
      <w:r w:rsidR="00C527D6" w:rsidRPr="008658B9">
        <w:t>hav</w:t>
      </w:r>
      <w:r w:rsidR="00250612" w:rsidRPr="008658B9">
        <w:t>ing</w:t>
      </w:r>
      <w:r w:rsidR="00C527D6" w:rsidRPr="008658B9">
        <w:t xml:space="preserve"> </w:t>
      </w:r>
      <w:r w:rsidR="00250612" w:rsidRPr="008658B9">
        <w:t>more than one SPS-suitable service</w:t>
      </w:r>
      <w:r w:rsidR="00C527D6" w:rsidRPr="008658B9">
        <w:t xml:space="preserve"> in parallel, e.g. URLLC and VoIP.</w:t>
      </w:r>
      <w:r w:rsidRPr="008658B9">
        <w:t xml:space="preserve"> The eMBB service may have diverse QoS requirements in terms of latency and </w:t>
      </w:r>
      <w:r w:rsidR="00C527D6" w:rsidRPr="008658B9">
        <w:t>t</w:t>
      </w:r>
      <w:r w:rsidRPr="008658B9">
        <w:t xml:space="preserve">ransmission reliability. In some cases, it would be beneficial to apply SPS for </w:t>
      </w:r>
      <w:r w:rsidR="00982EC6" w:rsidRPr="008658B9">
        <w:t xml:space="preserve">eMBB </w:t>
      </w:r>
      <w:r w:rsidRPr="008658B9">
        <w:t xml:space="preserve">in case </w:t>
      </w:r>
      <w:r w:rsidR="00982EC6" w:rsidRPr="008658B9">
        <w:t xml:space="preserve">critical </w:t>
      </w:r>
      <w:r w:rsidRPr="008658B9">
        <w:t xml:space="preserve">latency </w:t>
      </w:r>
      <w:r w:rsidR="00C527D6" w:rsidRPr="008658B9">
        <w:t xml:space="preserve">is </w:t>
      </w:r>
      <w:r w:rsidR="00982EC6" w:rsidRPr="008658B9">
        <w:t>required.</w:t>
      </w:r>
      <w:r w:rsidRPr="008658B9">
        <w:t xml:space="preserve"> </w:t>
      </w:r>
    </w:p>
    <w:p w14:paraId="2BF95217" w14:textId="60CA6A69" w:rsidR="00982EC6" w:rsidRPr="008658B9" w:rsidRDefault="00982EC6" w:rsidP="00982EC6">
      <w:pPr>
        <w:pStyle w:val="Observation"/>
      </w:pPr>
      <w:bookmarkStart w:id="16" w:name="_Toc481760139"/>
      <w:bookmarkStart w:id="17" w:name="_Toc481763353"/>
      <w:bookmarkStart w:id="18" w:name="_Toc481765263"/>
      <w:bookmarkStart w:id="19" w:name="_Toc487528388"/>
      <w:bookmarkStart w:id="20" w:name="_Toc490215371"/>
      <w:r w:rsidRPr="008658B9">
        <w:t xml:space="preserve">For carrier aggregation in NR, </w:t>
      </w:r>
      <w:r w:rsidR="00AC5DC1" w:rsidRPr="008658B9">
        <w:t>one</w:t>
      </w:r>
      <w:r w:rsidRPr="008658B9">
        <w:t xml:space="preserve"> SPS configuration per cell (both primary and secondary cell</w:t>
      </w:r>
      <w:r w:rsidR="008C6FE5" w:rsidRPr="008658B9">
        <w:t>s</w:t>
      </w:r>
      <w:r w:rsidRPr="008658B9">
        <w:t>)</w:t>
      </w:r>
      <w:bookmarkEnd w:id="16"/>
      <w:bookmarkEnd w:id="17"/>
      <w:r w:rsidR="006D2666" w:rsidRPr="008658B9">
        <w:t xml:space="preserve"> facilitates multiple service support</w:t>
      </w:r>
      <w:r w:rsidR="005E6104" w:rsidRPr="008658B9">
        <w:t>.</w:t>
      </w:r>
      <w:bookmarkEnd w:id="18"/>
      <w:bookmarkEnd w:id="19"/>
      <w:bookmarkEnd w:id="20"/>
    </w:p>
    <w:p w14:paraId="7896FCCE" w14:textId="77777777" w:rsidR="002A45D6" w:rsidRDefault="002A45D6" w:rsidP="00D33F68">
      <w:pPr>
        <w:pStyle w:val="BodyText"/>
      </w:pPr>
    </w:p>
    <w:p w14:paraId="4D62B358" w14:textId="6C6EB02C" w:rsidR="00ED4C52" w:rsidRPr="008658B9" w:rsidRDefault="00ED4C52" w:rsidP="00D33F68">
      <w:pPr>
        <w:pStyle w:val="BodyText"/>
      </w:pPr>
      <w:r w:rsidRPr="008658B9">
        <w:t xml:space="preserve">For URLLC traffic, PDCP duplication can be configured to enhance the </w:t>
      </w:r>
      <w:r w:rsidR="009A62C3" w:rsidRPr="008658B9">
        <w:t>frequency transmission diversity</w:t>
      </w:r>
      <w:r w:rsidRPr="008658B9">
        <w:t xml:space="preserve"> </w:t>
      </w:r>
      <w:r w:rsidR="00A13F34">
        <w:t xml:space="preserve">gain </w:t>
      </w:r>
      <w:r w:rsidRPr="008658B9">
        <w:t xml:space="preserve">of data transmission. </w:t>
      </w:r>
      <w:r w:rsidR="009A62C3" w:rsidRPr="008658B9">
        <w:t>W</w:t>
      </w:r>
      <w:r w:rsidRPr="008658B9">
        <w:t xml:space="preserve">hen </w:t>
      </w:r>
      <w:r w:rsidR="004A0DC2" w:rsidRPr="008658B9">
        <w:t xml:space="preserve">PDCP duplication </w:t>
      </w:r>
      <w:r w:rsidR="004A0DC2">
        <w:t xml:space="preserve">is </w:t>
      </w:r>
      <w:r w:rsidRPr="008658B9">
        <w:t>configured, PDCP can generate two duplicates for one URLLC packet and the two duplicates will be transmi</w:t>
      </w:r>
      <w:r w:rsidR="009A62C3" w:rsidRPr="008658B9">
        <w:t xml:space="preserve">tted in different component carriers. When there is one SPS grant for </w:t>
      </w:r>
      <w:r w:rsidR="00843E5E">
        <w:t>both legs, within whic</w:t>
      </w:r>
      <w:r w:rsidR="002A45D6">
        <w:t>h at least one carrier is SCell</w:t>
      </w:r>
      <w:r w:rsidR="009A62C3" w:rsidRPr="008658B9">
        <w:t xml:space="preserve"> for duplicated packet transmission, low latency transmission can be achieved</w:t>
      </w:r>
      <w:r w:rsidR="00D619FD">
        <w:t xml:space="preserve"> for transmissions in both</w:t>
      </w:r>
      <w:r w:rsidR="009A62C3" w:rsidRPr="008658B9">
        <w:t xml:space="preserve"> </w:t>
      </w:r>
      <w:r w:rsidR="00D9088C" w:rsidRPr="008658B9">
        <w:t>both</w:t>
      </w:r>
      <w:r w:rsidR="009A62C3" w:rsidRPr="008658B9">
        <w:t xml:space="preserve"> </w:t>
      </w:r>
      <w:r w:rsidR="00843E5E">
        <w:t>legs</w:t>
      </w:r>
      <w:r w:rsidR="004D4C36" w:rsidRPr="008658B9">
        <w:t>.</w:t>
      </w:r>
    </w:p>
    <w:p w14:paraId="7B617F25" w14:textId="6D3FF449" w:rsidR="00982EC6" w:rsidRPr="008658B9" w:rsidRDefault="004D4C36" w:rsidP="00D33F68">
      <w:pPr>
        <w:pStyle w:val="Observation"/>
        <w:ind w:left="1701" w:hanging="1701"/>
      </w:pPr>
      <w:bookmarkStart w:id="21" w:name="_Toc487528389"/>
      <w:r w:rsidRPr="008658B9">
        <w:t xml:space="preserve"> </w:t>
      </w:r>
      <w:bookmarkStart w:id="22" w:name="_Toc490215372"/>
      <w:r w:rsidRPr="008658B9">
        <w:t xml:space="preserve">SPS configuration </w:t>
      </w:r>
      <w:r w:rsidR="00843E5E">
        <w:t>in SCell</w:t>
      </w:r>
      <w:r w:rsidRPr="008658B9">
        <w:t xml:space="preserve"> facilitates low latency transmission of all PDC</w:t>
      </w:r>
      <w:r w:rsidR="00F51077" w:rsidRPr="008658B9">
        <w:t>P</w:t>
      </w:r>
      <w:r w:rsidRPr="008658B9">
        <w:t xml:space="preserve"> </w:t>
      </w:r>
      <w:r w:rsidR="00843E5E">
        <w:t xml:space="preserve">packet duplication </w:t>
      </w:r>
      <w:bookmarkEnd w:id="21"/>
      <w:r w:rsidR="00843E5E">
        <w:t>legs.</w:t>
      </w:r>
      <w:bookmarkEnd w:id="22"/>
    </w:p>
    <w:p w14:paraId="113AE139" w14:textId="0F157E68" w:rsidR="00773893" w:rsidRPr="008658B9" w:rsidRDefault="002A45D6" w:rsidP="005E6104">
      <w:pPr>
        <w:pStyle w:val="Proposal"/>
      </w:pPr>
      <w:bookmarkStart w:id="23" w:name="_Toc481767649"/>
      <w:bookmarkStart w:id="24" w:name="_Toc481775602"/>
      <w:bookmarkStart w:id="25" w:name="_Toc481760237"/>
      <w:bookmarkStart w:id="26" w:name="_Toc481760261"/>
      <w:bookmarkStart w:id="27" w:name="_Toc481767650"/>
      <w:bookmarkStart w:id="28" w:name="_Toc481775603"/>
      <w:bookmarkStart w:id="29" w:name="_Toc481760143"/>
      <w:bookmarkStart w:id="30" w:name="_Toc481760166"/>
      <w:bookmarkStart w:id="31" w:name="_Toc481760189"/>
      <w:bookmarkStart w:id="32" w:name="_Toc481760213"/>
      <w:bookmarkStart w:id="33" w:name="_Toc481760238"/>
      <w:bookmarkStart w:id="34" w:name="_Toc481760262"/>
      <w:bookmarkStart w:id="35" w:name="_Toc481767651"/>
      <w:bookmarkStart w:id="36" w:name="_Toc481775604"/>
      <w:bookmarkStart w:id="37" w:name="_Toc481760144"/>
      <w:bookmarkStart w:id="38" w:name="_Toc481760167"/>
      <w:bookmarkStart w:id="39" w:name="_Toc481760190"/>
      <w:bookmarkStart w:id="40" w:name="_Toc481760214"/>
      <w:bookmarkStart w:id="41" w:name="_Toc481760239"/>
      <w:bookmarkStart w:id="42" w:name="_Toc481760263"/>
      <w:bookmarkStart w:id="43" w:name="_Toc481767652"/>
      <w:bookmarkStart w:id="44" w:name="_Toc481775605"/>
      <w:bookmarkStart w:id="45" w:name="_Toc481760145"/>
      <w:bookmarkStart w:id="46" w:name="_Toc481760168"/>
      <w:bookmarkStart w:id="47" w:name="_Toc481760191"/>
      <w:bookmarkStart w:id="48" w:name="_Toc481760215"/>
      <w:bookmarkStart w:id="49" w:name="_Toc481760240"/>
      <w:bookmarkStart w:id="50" w:name="_Toc481760264"/>
      <w:bookmarkStart w:id="51" w:name="_Toc481767653"/>
      <w:bookmarkStart w:id="52" w:name="_Toc481775606"/>
      <w:bookmarkStart w:id="53" w:name="_Toc481760146"/>
      <w:bookmarkStart w:id="54" w:name="_Toc481760169"/>
      <w:bookmarkStart w:id="55" w:name="_Toc481760192"/>
      <w:bookmarkStart w:id="56" w:name="_Toc481760216"/>
      <w:bookmarkStart w:id="57" w:name="_Toc481760241"/>
      <w:bookmarkStart w:id="58" w:name="_Toc481760265"/>
      <w:bookmarkStart w:id="59" w:name="_Toc481767654"/>
      <w:bookmarkStart w:id="60" w:name="_Toc481775607"/>
      <w:bookmarkStart w:id="61" w:name="_Toc481760147"/>
      <w:bookmarkStart w:id="62" w:name="_Toc481760170"/>
      <w:bookmarkStart w:id="63" w:name="_Toc481760193"/>
      <w:bookmarkStart w:id="64" w:name="_Toc481760217"/>
      <w:bookmarkStart w:id="65" w:name="_Toc481760242"/>
      <w:bookmarkStart w:id="66" w:name="_Toc481760266"/>
      <w:bookmarkStart w:id="67" w:name="_Toc481767655"/>
      <w:bookmarkStart w:id="68" w:name="_Toc481775608"/>
      <w:bookmarkStart w:id="69" w:name="_Toc481760148"/>
      <w:bookmarkStart w:id="70" w:name="_Toc481760171"/>
      <w:bookmarkStart w:id="71" w:name="_Toc481760194"/>
      <w:bookmarkStart w:id="72" w:name="_Toc481760218"/>
      <w:bookmarkStart w:id="73" w:name="_Toc481760243"/>
      <w:bookmarkStart w:id="74" w:name="_Toc481760267"/>
      <w:bookmarkStart w:id="75" w:name="_Toc481767656"/>
      <w:bookmarkStart w:id="76" w:name="_Toc481775609"/>
      <w:bookmarkStart w:id="77" w:name="_Toc481760149"/>
      <w:bookmarkStart w:id="78" w:name="_Toc481760172"/>
      <w:bookmarkStart w:id="79" w:name="_Toc481760195"/>
      <w:bookmarkStart w:id="80" w:name="_Toc481760219"/>
      <w:bookmarkStart w:id="81" w:name="_Toc481760244"/>
      <w:bookmarkStart w:id="82" w:name="_Toc481760268"/>
      <w:bookmarkStart w:id="83" w:name="_Toc481767657"/>
      <w:bookmarkStart w:id="84" w:name="_Toc481775610"/>
      <w:bookmarkStart w:id="85" w:name="_Toc481760150"/>
      <w:bookmarkStart w:id="86" w:name="_Toc481760173"/>
      <w:bookmarkStart w:id="87" w:name="_Toc481760196"/>
      <w:bookmarkStart w:id="88" w:name="_Toc481760220"/>
      <w:bookmarkStart w:id="89" w:name="_Toc481760245"/>
      <w:bookmarkStart w:id="90" w:name="_Toc481760269"/>
      <w:bookmarkStart w:id="91" w:name="_Toc481767658"/>
      <w:bookmarkStart w:id="92" w:name="_Toc481775611"/>
      <w:bookmarkStart w:id="93" w:name="_Toc481760151"/>
      <w:bookmarkStart w:id="94" w:name="_Toc481760174"/>
      <w:bookmarkStart w:id="95" w:name="_Toc481760197"/>
      <w:bookmarkStart w:id="96" w:name="_Toc481760221"/>
      <w:bookmarkStart w:id="97" w:name="_Toc481760246"/>
      <w:bookmarkStart w:id="98" w:name="_Toc481760270"/>
      <w:bookmarkStart w:id="99" w:name="_Toc481767659"/>
      <w:bookmarkStart w:id="100" w:name="_Toc481775612"/>
      <w:bookmarkStart w:id="101" w:name="_Toc481760152"/>
      <w:bookmarkStart w:id="102" w:name="_Toc481760175"/>
      <w:bookmarkStart w:id="103" w:name="_Toc481760198"/>
      <w:bookmarkStart w:id="104" w:name="_Toc481760222"/>
      <w:bookmarkStart w:id="105" w:name="_Toc481760247"/>
      <w:bookmarkStart w:id="106" w:name="_Toc481760271"/>
      <w:bookmarkStart w:id="107" w:name="_Toc481767660"/>
      <w:bookmarkStart w:id="108" w:name="_Toc481775613"/>
      <w:bookmarkStart w:id="109" w:name="_Toc481760153"/>
      <w:bookmarkStart w:id="110" w:name="_Toc481760176"/>
      <w:bookmarkStart w:id="111" w:name="_Toc481760199"/>
      <w:bookmarkStart w:id="112" w:name="_Toc481760223"/>
      <w:bookmarkStart w:id="113" w:name="_Toc481760248"/>
      <w:bookmarkStart w:id="114" w:name="_Toc481760272"/>
      <w:bookmarkStart w:id="115" w:name="_Toc481767661"/>
      <w:bookmarkStart w:id="116" w:name="_Toc481775614"/>
      <w:bookmarkStart w:id="117" w:name="_Toc481760154"/>
      <w:bookmarkStart w:id="118" w:name="_Toc481760177"/>
      <w:bookmarkStart w:id="119" w:name="_Toc481760200"/>
      <w:bookmarkStart w:id="120" w:name="_Toc481760224"/>
      <w:bookmarkStart w:id="121" w:name="_Toc481760249"/>
      <w:bookmarkStart w:id="122" w:name="_Toc481760273"/>
      <w:bookmarkStart w:id="123" w:name="_Toc481767662"/>
      <w:bookmarkStart w:id="124" w:name="_Toc481775615"/>
      <w:bookmarkStart w:id="125" w:name="_Toc481760155"/>
      <w:bookmarkStart w:id="126" w:name="_Toc481760178"/>
      <w:bookmarkStart w:id="127" w:name="_Toc481760201"/>
      <w:bookmarkStart w:id="128" w:name="_Toc481760225"/>
      <w:bookmarkStart w:id="129" w:name="_Toc481760250"/>
      <w:bookmarkStart w:id="130" w:name="_Toc481760274"/>
      <w:bookmarkStart w:id="131" w:name="_Toc481767663"/>
      <w:bookmarkStart w:id="132" w:name="_Toc481775616"/>
      <w:bookmarkStart w:id="133" w:name="_Toc481760156"/>
      <w:bookmarkStart w:id="134" w:name="_Toc481760179"/>
      <w:bookmarkStart w:id="135" w:name="_Toc481760202"/>
      <w:bookmarkStart w:id="136" w:name="_Toc481760226"/>
      <w:bookmarkStart w:id="137" w:name="_Toc481760251"/>
      <w:bookmarkStart w:id="138" w:name="_Toc481760275"/>
      <w:bookmarkStart w:id="139" w:name="_Toc481767664"/>
      <w:bookmarkStart w:id="140" w:name="_Toc481775617"/>
      <w:bookmarkStart w:id="141" w:name="_Toc481760157"/>
      <w:bookmarkStart w:id="142" w:name="_Toc481760180"/>
      <w:bookmarkStart w:id="143" w:name="_Toc481760203"/>
      <w:bookmarkStart w:id="144" w:name="_Toc481760227"/>
      <w:bookmarkStart w:id="145" w:name="_Toc481760252"/>
      <w:bookmarkStart w:id="146" w:name="_Toc481760276"/>
      <w:bookmarkStart w:id="147" w:name="_Toc481767665"/>
      <w:bookmarkStart w:id="148" w:name="_Toc481775618"/>
      <w:bookmarkStart w:id="149" w:name="_Toc481760158"/>
      <w:bookmarkStart w:id="150" w:name="_Toc481760181"/>
      <w:bookmarkStart w:id="151" w:name="_Toc481760204"/>
      <w:bookmarkStart w:id="152" w:name="_Toc481760228"/>
      <w:bookmarkStart w:id="153" w:name="_Toc481760253"/>
      <w:bookmarkStart w:id="154" w:name="_Toc481760277"/>
      <w:bookmarkStart w:id="155" w:name="_Toc481767666"/>
      <w:bookmarkStart w:id="156" w:name="_Toc481775619"/>
      <w:bookmarkStart w:id="157" w:name="_Toc481760159"/>
      <w:bookmarkStart w:id="158" w:name="_Toc481760182"/>
      <w:bookmarkStart w:id="159" w:name="_Toc481760205"/>
      <w:bookmarkStart w:id="160" w:name="_Toc481760229"/>
      <w:bookmarkStart w:id="161" w:name="_Toc481760254"/>
      <w:bookmarkStart w:id="162" w:name="_Toc481760278"/>
      <w:bookmarkStart w:id="163" w:name="_Toc481767667"/>
      <w:bookmarkStart w:id="164" w:name="_Toc481775620"/>
      <w:bookmarkStart w:id="165" w:name="_Toc481760160"/>
      <w:bookmarkStart w:id="166" w:name="_Toc481760183"/>
      <w:bookmarkStart w:id="167" w:name="_Toc481760206"/>
      <w:bookmarkStart w:id="168" w:name="_Toc481760230"/>
      <w:bookmarkStart w:id="169" w:name="_Toc481760255"/>
      <w:bookmarkStart w:id="170" w:name="_Toc481760279"/>
      <w:bookmarkStart w:id="171" w:name="_Toc481767668"/>
      <w:bookmarkStart w:id="172" w:name="_Toc481775621"/>
      <w:bookmarkStart w:id="173" w:name="_Toc481760161"/>
      <w:bookmarkStart w:id="174" w:name="_Toc481760184"/>
      <w:bookmarkStart w:id="175" w:name="_Toc481760207"/>
      <w:bookmarkStart w:id="176" w:name="_Toc481760231"/>
      <w:bookmarkStart w:id="177" w:name="_Toc481760256"/>
      <w:bookmarkStart w:id="178" w:name="_Toc481760280"/>
      <w:bookmarkStart w:id="179" w:name="_Toc481760209"/>
      <w:bookmarkStart w:id="180" w:name="_Toc481760233"/>
      <w:bookmarkStart w:id="181" w:name="_Toc481760257"/>
      <w:bookmarkStart w:id="182" w:name="_Toc481760281"/>
      <w:bookmarkStart w:id="183" w:name="_Toc481763355"/>
      <w:bookmarkStart w:id="184" w:name="_Toc481867604"/>
      <w:bookmarkStart w:id="185" w:name="_Toc487528413"/>
      <w:bookmarkStart w:id="186" w:name="_Toc487710654"/>
      <w:bookmarkStart w:id="187" w:name="_Toc490215374"/>
      <w:bookmarkEnd w:id="9"/>
      <w:bookmarkEnd w:id="1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In addition to a SPS configuration on PCell, </w:t>
      </w:r>
      <w:r w:rsidR="0084046A">
        <w:t>NR</w:t>
      </w:r>
      <w:r w:rsidR="00773893" w:rsidRPr="008658B9">
        <w:t xml:space="preserve"> </w:t>
      </w:r>
      <w:r>
        <w:t xml:space="preserve">also </w:t>
      </w:r>
      <w:r w:rsidR="00773893" w:rsidRPr="008658B9">
        <w:t xml:space="preserve">support </w:t>
      </w:r>
      <w:r>
        <w:t>a SCell</w:t>
      </w:r>
      <w:r w:rsidR="00C527D6" w:rsidRPr="008658B9">
        <w:t xml:space="preserve"> </w:t>
      </w:r>
      <w:r w:rsidR="00773893" w:rsidRPr="008658B9">
        <w:t>SPS configuration</w:t>
      </w:r>
      <w:bookmarkEnd w:id="179"/>
      <w:bookmarkEnd w:id="180"/>
      <w:bookmarkEnd w:id="181"/>
      <w:bookmarkEnd w:id="182"/>
      <w:bookmarkEnd w:id="183"/>
      <w:bookmarkEnd w:id="184"/>
      <w:bookmarkEnd w:id="185"/>
      <w:bookmarkEnd w:id="186"/>
      <w:bookmarkEnd w:id="187"/>
      <w:r>
        <w:t>.</w:t>
      </w:r>
    </w:p>
    <w:p w14:paraId="399F1AD6" w14:textId="77777777" w:rsidR="002A45D6" w:rsidRDefault="002A45D6" w:rsidP="00926E69">
      <w:pPr>
        <w:rPr>
          <w:noProof/>
        </w:rPr>
      </w:pPr>
    </w:p>
    <w:p w14:paraId="6F76A63D" w14:textId="2B16FD83" w:rsidR="00926E69" w:rsidRPr="008658B9" w:rsidRDefault="00250612" w:rsidP="00926E69">
      <w:pPr>
        <w:rPr>
          <w:noProof/>
        </w:rPr>
      </w:pPr>
      <w:r w:rsidRPr="008658B9">
        <w:rPr>
          <w:noProof/>
        </w:rPr>
        <w:t>In LTE</w:t>
      </w:r>
      <w:r w:rsidR="00926E69" w:rsidRPr="008658B9">
        <w:rPr>
          <w:noProof/>
        </w:rPr>
        <w:t xml:space="preserve"> UL SPS configuarion, the N-th gr</w:t>
      </w:r>
      <w:r w:rsidRPr="008658B9">
        <w:rPr>
          <w:noProof/>
        </w:rPr>
        <w:t>ant occuring</w:t>
      </w:r>
      <w:r w:rsidR="00926E69" w:rsidRPr="008658B9">
        <w:rPr>
          <w:noProof/>
        </w:rPr>
        <w:t xml:space="preserve"> in the subframe</w:t>
      </w:r>
      <w:r w:rsidR="00C527D6" w:rsidRPr="008658B9">
        <w:rPr>
          <w:noProof/>
        </w:rPr>
        <w:t xml:space="preserve"> </w:t>
      </w:r>
      <w:r w:rsidR="00926E69" w:rsidRPr="008658B9">
        <w:rPr>
          <w:noProof/>
        </w:rPr>
        <w:t>can be calculated via the following formula:</w:t>
      </w:r>
    </w:p>
    <w:p w14:paraId="35D4657A" w14:textId="783D8B0E" w:rsidR="00926E69" w:rsidRPr="008658B9" w:rsidRDefault="00926E69" w:rsidP="00926E69">
      <w:pPr>
        <w:pStyle w:val="B2"/>
        <w:numPr>
          <w:ilvl w:val="0"/>
          <w:numId w:val="24"/>
        </w:numPr>
        <w:rPr>
          <w:i/>
          <w:noProof/>
        </w:rPr>
      </w:pPr>
      <w:r w:rsidRPr="008658B9">
        <w:rPr>
          <w:noProof/>
        </w:rPr>
        <w:t>(10 * SFN + subframe) = [(10 * SFN</w:t>
      </w:r>
      <w:r w:rsidRPr="008658B9">
        <w:rPr>
          <w:noProof/>
          <w:vertAlign w:val="subscript"/>
        </w:rPr>
        <w:t>start time</w:t>
      </w:r>
      <w:r w:rsidRPr="008658B9">
        <w:rPr>
          <w:noProof/>
        </w:rPr>
        <w:t xml:space="preserve"> + subframe</w:t>
      </w:r>
      <w:r w:rsidRPr="008658B9">
        <w:rPr>
          <w:noProof/>
          <w:vertAlign w:val="subscript"/>
        </w:rPr>
        <w:t>start time</w:t>
      </w:r>
      <w:r w:rsidRPr="008658B9">
        <w:rPr>
          <w:noProof/>
        </w:rPr>
        <w:t xml:space="preserve">) + N * </w:t>
      </w:r>
      <w:r w:rsidRPr="008658B9">
        <w:rPr>
          <w:i/>
          <w:noProof/>
        </w:rPr>
        <w:t>semiPersistSchedIntervalUL</w:t>
      </w:r>
      <w:r w:rsidRPr="008658B9">
        <w:rPr>
          <w:noProof/>
        </w:rPr>
        <w:t xml:space="preserve"> + Subframe_Offset * (N modulo 2)] modulo 10240.</w:t>
      </w:r>
    </w:p>
    <w:p w14:paraId="3045D8B5" w14:textId="77777777" w:rsidR="00926E69" w:rsidRPr="008658B9" w:rsidRDefault="00926E69" w:rsidP="00926E69">
      <w:pPr>
        <w:pStyle w:val="ListParagraph"/>
        <w:numPr>
          <w:ilvl w:val="0"/>
          <w:numId w:val="24"/>
        </w:numPr>
        <w:rPr>
          <w:noProof/>
        </w:rPr>
      </w:pPr>
      <w:r w:rsidRPr="008658B9">
        <w:rPr>
          <w:noProof/>
        </w:rPr>
        <w:t>Where SFN</w:t>
      </w:r>
      <w:r w:rsidRPr="008658B9">
        <w:rPr>
          <w:noProof/>
          <w:vertAlign w:val="subscript"/>
        </w:rPr>
        <w:t>start time</w:t>
      </w:r>
      <w:r w:rsidRPr="008658B9">
        <w:rPr>
          <w:noProof/>
        </w:rPr>
        <w:t xml:space="preserve"> and subframe</w:t>
      </w:r>
      <w:r w:rsidRPr="008658B9">
        <w:rPr>
          <w:noProof/>
          <w:vertAlign w:val="subscript"/>
        </w:rPr>
        <w:t>start time</w:t>
      </w:r>
      <w:r w:rsidRPr="008658B9">
        <w:rPr>
          <w:noProof/>
        </w:rPr>
        <w:t xml:space="preserve"> are the SFN and subframe, respectively, at the time the configured uplink grant were (re-)initialised.</w:t>
      </w:r>
    </w:p>
    <w:p w14:paraId="42251AE8" w14:textId="5707B865" w:rsidR="0053386C" w:rsidRPr="008658B9" w:rsidRDefault="00250612" w:rsidP="00926E69">
      <w:pPr>
        <w:pStyle w:val="BodyText"/>
        <w:rPr>
          <w:noProof/>
        </w:rPr>
      </w:pPr>
      <w:r w:rsidRPr="008658B9">
        <w:rPr>
          <w:noProof/>
        </w:rPr>
        <w:t>S</w:t>
      </w:r>
      <w:r w:rsidR="00977760" w:rsidRPr="008658B9">
        <w:rPr>
          <w:noProof/>
        </w:rPr>
        <w:t>imilar SPS configuration is also applied to DL.</w:t>
      </w:r>
      <w:r w:rsidR="00D570F5" w:rsidRPr="008658B9">
        <w:rPr>
          <w:noProof/>
        </w:rPr>
        <w:t xml:space="preserve"> The SPS transmission periodicity</w:t>
      </w:r>
      <w:r w:rsidR="00926E69" w:rsidRPr="008658B9">
        <w:rPr>
          <w:noProof/>
        </w:rPr>
        <w:t xml:space="preserve"> </w:t>
      </w:r>
      <w:r w:rsidR="00D570F5" w:rsidRPr="008658B9">
        <w:rPr>
          <w:noProof/>
        </w:rPr>
        <w:t>is configured in terms of subframe</w:t>
      </w:r>
      <w:r w:rsidR="00926E69" w:rsidRPr="008658B9">
        <w:rPr>
          <w:noProof/>
        </w:rPr>
        <w:t>.</w:t>
      </w:r>
    </w:p>
    <w:p w14:paraId="5D99962F" w14:textId="710C399C" w:rsidR="00926E69" w:rsidRPr="008658B9" w:rsidDel="001C3582" w:rsidRDefault="00926E69" w:rsidP="00926E69">
      <w:pPr>
        <w:pStyle w:val="Observation"/>
      </w:pPr>
      <w:bookmarkStart w:id="188" w:name="_Toc481143677"/>
      <w:bookmarkStart w:id="189" w:name="_Toc481484785"/>
      <w:bookmarkStart w:id="190" w:name="_Toc481767642"/>
      <w:bookmarkStart w:id="191" w:name="_Toc481760140"/>
      <w:bookmarkStart w:id="192" w:name="_Toc481763354"/>
      <w:bookmarkStart w:id="193" w:name="_Toc481765264"/>
      <w:bookmarkStart w:id="194" w:name="_Toc487528390"/>
      <w:bookmarkStart w:id="195" w:name="_Toc490215373"/>
      <w:r w:rsidRPr="008658B9">
        <w:t xml:space="preserve">In LTE, </w:t>
      </w:r>
      <w:r w:rsidR="00D570F5" w:rsidRPr="008658B9">
        <w:rPr>
          <w:noProof/>
        </w:rPr>
        <w:t>SPS transmission periodicity is configured</w:t>
      </w:r>
      <w:r w:rsidRPr="008658B9">
        <w:t xml:space="preserve"> in the unit of subframes</w:t>
      </w:r>
      <w:r w:rsidR="00EE61B0" w:rsidRPr="008658B9">
        <w:t xml:space="preserve"> (i.e. 1</w:t>
      </w:r>
      <w:r w:rsidR="00C527D6" w:rsidRPr="008658B9">
        <w:t> </w:t>
      </w:r>
      <w:r w:rsidR="00EE61B0" w:rsidRPr="008658B9">
        <w:t>ms)</w:t>
      </w:r>
      <w:bookmarkEnd w:id="188"/>
      <w:bookmarkEnd w:id="189"/>
      <w:bookmarkEnd w:id="190"/>
      <w:bookmarkEnd w:id="191"/>
      <w:bookmarkEnd w:id="192"/>
      <w:r w:rsidR="005E6104" w:rsidRPr="008658B9">
        <w:t>.</w:t>
      </w:r>
      <w:bookmarkEnd w:id="193"/>
      <w:bookmarkEnd w:id="194"/>
      <w:bookmarkEnd w:id="195"/>
    </w:p>
    <w:p w14:paraId="5FB7ACC6" w14:textId="77777777" w:rsidR="002A45D6" w:rsidRDefault="002A45D6" w:rsidP="00926E69">
      <w:pPr>
        <w:pStyle w:val="BodyText"/>
      </w:pPr>
    </w:p>
    <w:p w14:paraId="7516AA18" w14:textId="79C27D8E" w:rsidR="0053386C" w:rsidRPr="008658B9" w:rsidRDefault="007F4288" w:rsidP="00926E69">
      <w:pPr>
        <w:pStyle w:val="BodyText"/>
      </w:pPr>
      <w:r w:rsidRPr="008658B9">
        <w:t>However, multiple numerology/slot duration will be supported</w:t>
      </w:r>
      <w:r w:rsidR="00170569" w:rsidRPr="008658B9">
        <w:t xml:space="preserve"> in NR</w:t>
      </w:r>
      <w:r w:rsidRPr="008658B9">
        <w:t xml:space="preserve">. </w:t>
      </w:r>
      <w:r w:rsidR="007725F9" w:rsidRPr="008658B9">
        <w:t xml:space="preserve">In CA, each cell may be </w:t>
      </w:r>
      <w:r w:rsidR="00947851" w:rsidRPr="008658B9">
        <w:t xml:space="preserve">configured with a very different TTI length/slot duration. </w:t>
      </w:r>
      <w:r w:rsidR="00947851" w:rsidRPr="008658B9">
        <w:rPr>
          <w:color w:val="000000" w:themeColor="text1"/>
        </w:rPr>
        <w:t xml:space="preserve">Considering the means provided by RAN1, such as flexible sub-frame and slot structure, </w:t>
      </w:r>
      <w:r w:rsidR="00250612" w:rsidRPr="008658B9">
        <w:rPr>
          <w:color w:val="000000" w:themeColor="text1"/>
        </w:rPr>
        <w:t xml:space="preserve">with </w:t>
      </w:r>
      <w:r w:rsidR="00947851" w:rsidRPr="008658B9">
        <w:rPr>
          <w:color w:val="000000" w:themeColor="text1"/>
        </w:rPr>
        <w:t>the smallest possible transmission/scheduling unit is mini-slot, comprises a few OFDM symbols (e.g., 2 OFDM symbols).</w:t>
      </w:r>
      <w:r w:rsidR="00BD3BEA" w:rsidRPr="008658B9">
        <w:rPr>
          <w:color w:val="000000" w:themeColor="text1"/>
        </w:rPr>
        <w:t xml:space="preserve"> </w:t>
      </w:r>
      <w:r w:rsidR="00C527D6" w:rsidRPr="008658B9">
        <w:rPr>
          <w:color w:val="000000" w:themeColor="text1"/>
        </w:rPr>
        <w:t xml:space="preserve">It may </w:t>
      </w:r>
      <w:r w:rsidR="00250612" w:rsidRPr="008658B9">
        <w:rPr>
          <w:color w:val="000000" w:themeColor="text1"/>
        </w:rPr>
        <w:t xml:space="preserve">thus </w:t>
      </w:r>
      <w:r w:rsidR="00C527D6" w:rsidRPr="008658B9">
        <w:rPr>
          <w:color w:val="000000" w:themeColor="text1"/>
        </w:rPr>
        <w:t>be beneficial to support SPS configuration in a granularity shorter than 1 subframe, e.g. on a mini-slot level.</w:t>
      </w:r>
    </w:p>
    <w:p w14:paraId="13A17DFD" w14:textId="49FE89C4" w:rsidR="00A03990" w:rsidRPr="008658B9" w:rsidRDefault="00C527D6" w:rsidP="005E6104">
      <w:pPr>
        <w:pStyle w:val="Proposal"/>
      </w:pPr>
      <w:bookmarkStart w:id="196" w:name="_Toc481760234"/>
      <w:bookmarkStart w:id="197" w:name="_Toc481760258"/>
      <w:bookmarkStart w:id="198" w:name="_Toc481760282"/>
      <w:bookmarkStart w:id="199" w:name="_Toc481763356"/>
      <w:bookmarkStart w:id="200" w:name="_Toc481867605"/>
      <w:bookmarkStart w:id="201" w:name="_Toc487528414"/>
      <w:bookmarkStart w:id="202" w:name="_Toc487710655"/>
      <w:bookmarkStart w:id="203" w:name="_Toc490215375"/>
      <w:bookmarkStart w:id="204" w:name="_Toc481143707"/>
      <w:bookmarkStart w:id="205" w:name="_Toc481143710"/>
      <w:bookmarkStart w:id="206" w:name="_Toc481143835"/>
      <w:bookmarkStart w:id="207" w:name="_Toc481149167"/>
      <w:bookmarkStart w:id="208" w:name="_Toc481484809"/>
      <w:bookmarkStart w:id="209" w:name="_Toc481767670"/>
      <w:bookmarkStart w:id="210" w:name="_Toc481775623"/>
      <w:bookmarkStart w:id="211" w:name="_Toc481760163"/>
      <w:bookmarkStart w:id="212" w:name="_Toc481760186"/>
      <w:bookmarkStart w:id="213" w:name="_Toc481760210"/>
      <w:r w:rsidRPr="008658B9">
        <w:t xml:space="preserve">NR supports a SPS transmission periodicity </w:t>
      </w:r>
      <w:r w:rsidR="00250612" w:rsidRPr="008658B9">
        <w:t xml:space="preserve">shorter </w:t>
      </w:r>
      <w:r w:rsidRPr="008658B9">
        <w:t xml:space="preserve">than 1 subframe, e.g. on a </w:t>
      </w:r>
      <w:r w:rsidR="0060324F" w:rsidRPr="008658B9">
        <w:t>slot/</w:t>
      </w:r>
      <w:r w:rsidRPr="008658B9">
        <w:t>mini-slot basis</w:t>
      </w:r>
      <w:bookmarkEnd w:id="196"/>
      <w:bookmarkEnd w:id="197"/>
      <w:bookmarkEnd w:id="198"/>
      <w:r w:rsidRPr="008658B9">
        <w:rPr>
          <w:noProof/>
        </w:rPr>
        <w:t>.</w:t>
      </w:r>
      <w:bookmarkEnd w:id="199"/>
      <w:bookmarkEnd w:id="200"/>
      <w:bookmarkEnd w:id="201"/>
      <w:bookmarkEnd w:id="202"/>
      <w:bookmarkEnd w:id="203"/>
    </w:p>
    <w:p w14:paraId="287C8273" w14:textId="0E470E8F" w:rsidR="00C01F33" w:rsidRPr="00CE0424" w:rsidRDefault="00C01F33" w:rsidP="005E6104">
      <w:pPr>
        <w:pStyle w:val="Heading1"/>
      </w:pPr>
      <w:bookmarkStart w:id="214" w:name="_Toc481760164"/>
      <w:bookmarkStart w:id="215" w:name="_Toc481760187"/>
      <w:bookmarkStart w:id="216" w:name="_Toc481760211"/>
      <w:bookmarkEnd w:id="204"/>
      <w:bookmarkEnd w:id="205"/>
      <w:bookmarkEnd w:id="206"/>
      <w:bookmarkEnd w:id="207"/>
      <w:bookmarkEnd w:id="208"/>
      <w:bookmarkEnd w:id="209"/>
      <w:bookmarkEnd w:id="210"/>
      <w:bookmarkEnd w:id="211"/>
      <w:bookmarkEnd w:id="212"/>
      <w:bookmarkEnd w:id="213"/>
      <w:bookmarkEnd w:id="214"/>
      <w:bookmarkEnd w:id="215"/>
      <w:bookmarkEnd w:id="216"/>
      <w:r w:rsidRPr="00CE0424">
        <w:t>Conclusion</w:t>
      </w:r>
    </w:p>
    <w:p w14:paraId="279CE534" w14:textId="77777777" w:rsidR="002A443F" w:rsidRPr="008658B9" w:rsidRDefault="002A443F" w:rsidP="002A443F">
      <w:r w:rsidRPr="008658B9">
        <w:t xml:space="preserve">In section </w:t>
      </w:r>
      <w:r>
        <w:rPr>
          <w:highlight w:val="cyan"/>
        </w:rPr>
        <w:fldChar w:fldCharType="begin"/>
      </w:r>
      <w:r w:rsidRPr="008658B9">
        <w:instrText xml:space="preserve"> REF _Ref178064866 \r \h </w:instrText>
      </w:r>
      <w:r w:rsidRPr="008658B9">
        <w:rPr>
          <w:highlight w:val="cyan"/>
        </w:rPr>
        <w:instrText xml:space="preserve"> \* MERGEFORMAT </w:instrText>
      </w:r>
      <w:r>
        <w:rPr>
          <w:highlight w:val="cyan"/>
        </w:rPr>
      </w:r>
      <w:r>
        <w:rPr>
          <w:highlight w:val="cyan"/>
        </w:rPr>
        <w:fldChar w:fldCharType="separate"/>
      </w:r>
      <w:r w:rsidRPr="008658B9">
        <w:t>2</w:t>
      </w:r>
      <w:r>
        <w:rPr>
          <w:highlight w:val="cyan"/>
        </w:rPr>
        <w:fldChar w:fldCharType="end"/>
      </w:r>
      <w:r w:rsidRPr="008658B9">
        <w:t xml:space="preserve"> we made the following observations:</w:t>
      </w:r>
    </w:p>
    <w:p w14:paraId="7CE24817" w14:textId="77777777" w:rsidR="002819DA" w:rsidRDefault="004D4C36">
      <w:pPr>
        <w:pStyle w:val="TOC1"/>
        <w:rPr>
          <w:rFonts w:asciiTheme="minorHAnsi" w:eastAsiaTheme="minorEastAsia" w:hAnsiTheme="minorHAnsi" w:cstheme="minorBidi"/>
          <w:b w:val="0"/>
          <w:sz w:val="22"/>
        </w:rPr>
      </w:pPr>
      <w:r>
        <w:rPr>
          <w:b w:val="0"/>
          <w:bCs/>
        </w:rPr>
        <w:lastRenderedPageBreak/>
        <w:fldChar w:fldCharType="begin"/>
      </w:r>
      <w:r>
        <w:rPr>
          <w:b w:val="0"/>
          <w:bCs/>
        </w:rPr>
        <w:instrText xml:space="preserve"> TOC \f \n \t "Observation,1" </w:instrText>
      </w:r>
      <w:r>
        <w:rPr>
          <w:b w:val="0"/>
          <w:bCs/>
        </w:rPr>
        <w:fldChar w:fldCharType="separate"/>
      </w:r>
      <w:r w:rsidR="002819DA">
        <w:t>Observation 1</w:t>
      </w:r>
      <w:r w:rsidR="002819DA">
        <w:rPr>
          <w:rFonts w:asciiTheme="minorHAnsi" w:eastAsiaTheme="minorEastAsia" w:hAnsiTheme="minorHAnsi" w:cstheme="minorBidi"/>
          <w:b w:val="0"/>
          <w:sz w:val="22"/>
        </w:rPr>
        <w:tab/>
      </w:r>
      <w:r w:rsidR="002819DA">
        <w:t>For either UL or DL in LTE, up to one respective SPS configuration can be configured for one UE per cell.</w:t>
      </w:r>
    </w:p>
    <w:p w14:paraId="0FF48AFA" w14:textId="77777777" w:rsidR="002819DA" w:rsidRDefault="002819DA">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There is no use case/motivation similar as LTE V2X to support multiple SPS configurations for a UE per cell in NR.</w:t>
      </w:r>
    </w:p>
    <w:p w14:paraId="33844C99" w14:textId="77777777" w:rsidR="002819DA" w:rsidRDefault="002819DA">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For carrier aggregation in NR, one SPS configuration per cell (both primary and secondary cells) facilitates multiple service support.</w:t>
      </w:r>
    </w:p>
    <w:p w14:paraId="757B50C3" w14:textId="77777777" w:rsidR="002819DA" w:rsidRDefault="002819DA">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SPS configuration in SCell facilitates low latency transmission of all PDCP packet duplication legs.</w:t>
      </w:r>
    </w:p>
    <w:p w14:paraId="16D6381C" w14:textId="77777777" w:rsidR="002819DA" w:rsidRDefault="002819DA">
      <w:pPr>
        <w:pStyle w:val="TOC1"/>
        <w:rPr>
          <w:rFonts w:asciiTheme="minorHAnsi" w:eastAsiaTheme="minorEastAsia" w:hAnsiTheme="minorHAnsi" w:cstheme="minorBidi"/>
          <w:b w:val="0"/>
          <w:sz w:val="22"/>
        </w:rPr>
      </w:pPr>
      <w:r>
        <w:t>Observation 5</w:t>
      </w:r>
      <w:r>
        <w:rPr>
          <w:rFonts w:asciiTheme="minorHAnsi" w:eastAsiaTheme="minorEastAsia" w:hAnsiTheme="minorHAnsi" w:cstheme="minorBidi"/>
          <w:b w:val="0"/>
          <w:sz w:val="22"/>
        </w:rPr>
        <w:tab/>
      </w:r>
      <w:r>
        <w:t>In LTE, SPS transmission periodicity is configured in the unit of subframes (i.e. 1 ms).</w:t>
      </w:r>
    </w:p>
    <w:p w14:paraId="4ACE694A" w14:textId="39C54312" w:rsidR="002A443F" w:rsidRPr="008658B9" w:rsidRDefault="004D4C36" w:rsidP="002A443F">
      <w:pPr>
        <w:pStyle w:val="BodyText"/>
        <w:rPr>
          <w:b/>
          <w:bCs/>
        </w:rPr>
      </w:pPr>
      <w:r>
        <w:rPr>
          <w:rFonts w:ascii="Arial" w:eastAsia="Times New Roman" w:hAnsi="Arial" w:cs="Times New Roman"/>
          <w:b/>
          <w:bCs/>
          <w:noProof/>
          <w:sz w:val="20"/>
        </w:rPr>
        <w:fldChar w:fldCharType="end"/>
      </w:r>
    </w:p>
    <w:p w14:paraId="6BAA0FCD" w14:textId="77777777" w:rsidR="002A443F" w:rsidRPr="008658B9" w:rsidRDefault="002A443F" w:rsidP="002A443F">
      <w:r w:rsidRPr="008658B9">
        <w:t xml:space="preserve">Based on the discussion in Section </w:t>
      </w:r>
      <w:r>
        <w:rPr>
          <w:highlight w:val="cyan"/>
        </w:rPr>
        <w:fldChar w:fldCharType="begin"/>
      </w:r>
      <w:r w:rsidRPr="008658B9">
        <w:instrText xml:space="preserve"> REF _Ref178064866 \r \h </w:instrText>
      </w:r>
      <w:r w:rsidRPr="008658B9">
        <w:rPr>
          <w:highlight w:val="cyan"/>
        </w:rPr>
        <w:instrText xml:space="preserve"> \* MERGEFORMAT </w:instrText>
      </w:r>
      <w:r>
        <w:rPr>
          <w:highlight w:val="cyan"/>
        </w:rPr>
      </w:r>
      <w:r>
        <w:rPr>
          <w:highlight w:val="cyan"/>
        </w:rPr>
        <w:fldChar w:fldCharType="separate"/>
      </w:r>
      <w:r w:rsidRPr="008658B9">
        <w:t>2</w:t>
      </w:r>
      <w:r>
        <w:rPr>
          <w:highlight w:val="cyan"/>
        </w:rPr>
        <w:fldChar w:fldCharType="end"/>
      </w:r>
      <w:r w:rsidRPr="008658B9">
        <w:t xml:space="preserve"> we propose the following:</w:t>
      </w:r>
    </w:p>
    <w:p w14:paraId="66015043" w14:textId="3D73B89D" w:rsidR="002A45D6" w:rsidRPr="008658B9" w:rsidRDefault="004D4C36" w:rsidP="002A45D6">
      <w:pPr>
        <w:pStyle w:val="Proposal"/>
        <w:numPr>
          <w:ilvl w:val="0"/>
          <w:numId w:val="0"/>
        </w:numPr>
        <w:ind w:left="1701" w:hanging="1701"/>
      </w:pPr>
      <w:r>
        <w:rPr>
          <w:b w:val="0"/>
          <w:bCs w:val="0"/>
        </w:rPr>
        <w:fldChar w:fldCharType="begin"/>
      </w:r>
      <w:r>
        <w:rPr>
          <w:b w:val="0"/>
        </w:rPr>
        <w:instrText xml:space="preserve"> TOC \f \n \p " " \t "Proposal,1" </w:instrText>
      </w:r>
      <w:r>
        <w:rPr>
          <w:b w:val="0"/>
          <w:bCs w:val="0"/>
        </w:rPr>
        <w:fldChar w:fldCharType="separate"/>
      </w:r>
      <w:r w:rsidR="002819DA">
        <w:t>Proposal 1</w:t>
      </w:r>
      <w:r w:rsidR="002819DA">
        <w:rPr>
          <w:rFonts w:eastAsiaTheme="minorEastAsia"/>
          <w:b w:val="0"/>
          <w:sz w:val="22"/>
        </w:rPr>
        <w:tab/>
      </w:r>
      <w:r w:rsidR="002A45D6">
        <w:t>In addition to a SPS configuration on PCell, NR</w:t>
      </w:r>
      <w:r w:rsidR="002A45D6" w:rsidRPr="008658B9">
        <w:t xml:space="preserve"> </w:t>
      </w:r>
      <w:r w:rsidR="002A45D6">
        <w:t xml:space="preserve">also </w:t>
      </w:r>
      <w:r w:rsidR="002A45D6" w:rsidRPr="008658B9">
        <w:t xml:space="preserve">support </w:t>
      </w:r>
      <w:r w:rsidR="002A45D6">
        <w:t>a SCell</w:t>
      </w:r>
      <w:r w:rsidR="002A45D6" w:rsidRPr="008658B9">
        <w:t xml:space="preserve"> SPS configuration</w:t>
      </w:r>
      <w:r w:rsidR="002A45D6">
        <w:t>.</w:t>
      </w:r>
    </w:p>
    <w:p w14:paraId="6418CEDE" w14:textId="77777777" w:rsidR="002819DA" w:rsidRDefault="002819DA">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NR supports a SPS transmission periodicity shorter than 1 subframe, e.g. on a slot/mini-slot basis.</w:t>
      </w:r>
    </w:p>
    <w:p w14:paraId="385E3A34" w14:textId="1ACB8664" w:rsidR="008E065E" w:rsidRPr="008658B9" w:rsidRDefault="004D4C36" w:rsidP="002A23C1">
      <w:pPr>
        <w:pStyle w:val="BodyText"/>
        <w:rPr>
          <w:b/>
          <w:bCs/>
        </w:rPr>
      </w:pPr>
      <w:r>
        <w:rPr>
          <w:rFonts w:ascii="Arial" w:eastAsia="Times New Roman" w:hAnsi="Arial" w:cs="Times New Roman"/>
          <w:b/>
          <w:bCs/>
          <w:noProof/>
          <w:sz w:val="20"/>
        </w:rPr>
        <w:fldChar w:fldCharType="end"/>
      </w:r>
    </w:p>
    <w:p w14:paraId="19D64DE7" w14:textId="4B5B46AF" w:rsidR="003A7EF3" w:rsidRPr="008658B9" w:rsidRDefault="003A7EF3" w:rsidP="005E6104">
      <w:pPr>
        <w:pStyle w:val="BodyText"/>
      </w:pPr>
      <w:bookmarkStart w:id="217" w:name="_In-sequence_SDU_delivery"/>
      <w:bookmarkStart w:id="218" w:name="_GoBack"/>
      <w:bookmarkEnd w:id="217"/>
      <w:bookmarkEnd w:id="218"/>
    </w:p>
    <w:sectPr w:rsidR="003A7EF3" w:rsidRPr="008658B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2448E" w14:textId="77777777" w:rsidR="00C22E37" w:rsidRDefault="00C22E37">
      <w:r>
        <w:separator/>
      </w:r>
    </w:p>
  </w:endnote>
  <w:endnote w:type="continuationSeparator" w:id="0">
    <w:p w14:paraId="29D2C684" w14:textId="77777777" w:rsidR="00C22E37" w:rsidRDefault="00C2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DF8A" w14:textId="23FDF4BD" w:rsidR="000C5D60" w:rsidRDefault="000C5D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45D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45D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93DA5" w14:textId="77777777" w:rsidR="00C22E37" w:rsidRDefault="00C22E37">
      <w:r>
        <w:separator/>
      </w:r>
    </w:p>
  </w:footnote>
  <w:footnote w:type="continuationSeparator" w:id="0">
    <w:p w14:paraId="5DE21960" w14:textId="77777777" w:rsidR="00C22E37" w:rsidRDefault="00C22E3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1D5E" w14:textId="77777777" w:rsidR="000C5D60" w:rsidRDefault="000C5D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BE26B56"/>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21B28"/>
    <w:multiLevelType w:val="hybridMultilevel"/>
    <w:tmpl w:val="05FE2B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2A536030"/>
    <w:multiLevelType w:val="hybridMultilevel"/>
    <w:tmpl w:val="2654BCDC"/>
    <w:lvl w:ilvl="0" w:tplc="A606A6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8B1EA7"/>
    <w:multiLevelType w:val="hybridMultilevel"/>
    <w:tmpl w:val="6DF25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7D48E6"/>
    <w:multiLevelType w:val="hybridMultilevel"/>
    <w:tmpl w:val="E3D050CA"/>
    <w:lvl w:ilvl="0" w:tplc="EAFA1D10">
      <w:start w:val="1"/>
      <w:numFmt w:val="bullet"/>
      <w:lvlText w:val="•"/>
      <w:lvlJc w:val="left"/>
      <w:pPr>
        <w:tabs>
          <w:tab w:val="num" w:pos="720"/>
        </w:tabs>
        <w:ind w:left="720" w:hanging="360"/>
      </w:pPr>
      <w:rPr>
        <w:rFonts w:ascii="Arial" w:hAnsi="Arial" w:cs="Times New Roman" w:hint="default"/>
      </w:rPr>
    </w:lvl>
    <w:lvl w:ilvl="1" w:tplc="3B80054C">
      <w:start w:val="1169"/>
      <w:numFmt w:val="bullet"/>
      <w:lvlText w:val="–"/>
      <w:lvlJc w:val="left"/>
      <w:pPr>
        <w:tabs>
          <w:tab w:val="num" w:pos="1440"/>
        </w:tabs>
        <w:ind w:left="1440" w:hanging="360"/>
      </w:pPr>
      <w:rPr>
        <w:rFonts w:ascii="Arial" w:hAnsi="Arial" w:cs="Times New Roman" w:hint="default"/>
      </w:rPr>
    </w:lvl>
    <w:lvl w:ilvl="2" w:tplc="88D029E6">
      <w:start w:val="1169"/>
      <w:numFmt w:val="bullet"/>
      <w:lvlText w:val="•"/>
      <w:lvlJc w:val="left"/>
      <w:pPr>
        <w:tabs>
          <w:tab w:val="num" w:pos="2160"/>
        </w:tabs>
        <w:ind w:left="2160" w:hanging="360"/>
      </w:pPr>
      <w:rPr>
        <w:rFonts w:ascii="Arial" w:hAnsi="Arial" w:cs="Times New Roman" w:hint="default"/>
      </w:rPr>
    </w:lvl>
    <w:lvl w:ilvl="3" w:tplc="C7708976">
      <w:start w:val="1"/>
      <w:numFmt w:val="bullet"/>
      <w:lvlText w:val="•"/>
      <w:lvlJc w:val="left"/>
      <w:pPr>
        <w:tabs>
          <w:tab w:val="num" w:pos="2880"/>
        </w:tabs>
        <w:ind w:left="2880" w:hanging="360"/>
      </w:pPr>
      <w:rPr>
        <w:rFonts w:ascii="Arial" w:hAnsi="Arial" w:cs="Times New Roman" w:hint="default"/>
      </w:rPr>
    </w:lvl>
    <w:lvl w:ilvl="4" w:tplc="086A30AA">
      <w:start w:val="1"/>
      <w:numFmt w:val="bullet"/>
      <w:lvlText w:val="•"/>
      <w:lvlJc w:val="left"/>
      <w:pPr>
        <w:tabs>
          <w:tab w:val="num" w:pos="3600"/>
        </w:tabs>
        <w:ind w:left="3600" w:hanging="360"/>
      </w:pPr>
      <w:rPr>
        <w:rFonts w:ascii="Arial" w:hAnsi="Arial" w:cs="Times New Roman" w:hint="default"/>
      </w:rPr>
    </w:lvl>
    <w:lvl w:ilvl="5" w:tplc="4DD8C5A8">
      <w:start w:val="1"/>
      <w:numFmt w:val="bullet"/>
      <w:lvlText w:val="•"/>
      <w:lvlJc w:val="left"/>
      <w:pPr>
        <w:tabs>
          <w:tab w:val="num" w:pos="4320"/>
        </w:tabs>
        <w:ind w:left="4320" w:hanging="360"/>
      </w:pPr>
      <w:rPr>
        <w:rFonts w:ascii="Arial" w:hAnsi="Arial" w:cs="Times New Roman" w:hint="default"/>
      </w:rPr>
    </w:lvl>
    <w:lvl w:ilvl="6" w:tplc="6890BE64">
      <w:start w:val="1"/>
      <w:numFmt w:val="bullet"/>
      <w:lvlText w:val="•"/>
      <w:lvlJc w:val="left"/>
      <w:pPr>
        <w:tabs>
          <w:tab w:val="num" w:pos="5040"/>
        </w:tabs>
        <w:ind w:left="5040" w:hanging="360"/>
      </w:pPr>
      <w:rPr>
        <w:rFonts w:ascii="Arial" w:hAnsi="Arial" w:cs="Times New Roman" w:hint="default"/>
      </w:rPr>
    </w:lvl>
    <w:lvl w:ilvl="7" w:tplc="979492DA">
      <w:start w:val="1"/>
      <w:numFmt w:val="bullet"/>
      <w:lvlText w:val="•"/>
      <w:lvlJc w:val="left"/>
      <w:pPr>
        <w:tabs>
          <w:tab w:val="num" w:pos="5760"/>
        </w:tabs>
        <w:ind w:left="5760" w:hanging="360"/>
      </w:pPr>
      <w:rPr>
        <w:rFonts w:ascii="Arial" w:hAnsi="Arial" w:cs="Times New Roman" w:hint="default"/>
      </w:rPr>
    </w:lvl>
    <w:lvl w:ilvl="8" w:tplc="211EFB10">
      <w:start w:val="1"/>
      <w:numFmt w:val="bullet"/>
      <w:lvlText w:val="•"/>
      <w:lvlJc w:val="left"/>
      <w:pPr>
        <w:tabs>
          <w:tab w:val="num" w:pos="6480"/>
        </w:tabs>
        <w:ind w:left="6480" w:hanging="360"/>
      </w:pPr>
      <w:rPr>
        <w:rFonts w:ascii="Arial" w:hAnsi="Arial" w:cs="Times New Roman"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C015EA"/>
    <w:multiLevelType w:val="hybridMultilevel"/>
    <w:tmpl w:val="95F41A4A"/>
    <w:lvl w:ilvl="0" w:tplc="4E3A673A">
      <w:numFmt w:val="bullet"/>
      <w:lvlText w:val="-"/>
      <w:lvlJc w:val="left"/>
      <w:pPr>
        <w:ind w:left="924" w:hanging="564"/>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7115701A"/>
    <w:multiLevelType w:val="hybridMultilevel"/>
    <w:tmpl w:val="A6B88986"/>
    <w:lvl w:ilvl="0" w:tplc="71C64BF0">
      <w:start w:val="1"/>
      <w:numFmt w:val="bullet"/>
      <w:lvlText w:val="•"/>
      <w:lvlJc w:val="left"/>
      <w:pPr>
        <w:tabs>
          <w:tab w:val="num" w:pos="720"/>
        </w:tabs>
        <w:ind w:left="720" w:hanging="360"/>
      </w:pPr>
      <w:rPr>
        <w:rFonts w:ascii="Arial" w:hAnsi="Arial" w:cs="Times New Roman" w:hint="default"/>
      </w:rPr>
    </w:lvl>
    <w:lvl w:ilvl="1" w:tplc="CB4EED7A">
      <w:start w:val="276"/>
      <w:numFmt w:val="bullet"/>
      <w:lvlText w:val="–"/>
      <w:lvlJc w:val="left"/>
      <w:pPr>
        <w:tabs>
          <w:tab w:val="num" w:pos="1440"/>
        </w:tabs>
        <w:ind w:left="1440" w:hanging="360"/>
      </w:pPr>
      <w:rPr>
        <w:rFonts w:ascii="Arial" w:hAnsi="Arial" w:cs="Times New Roman" w:hint="default"/>
      </w:rPr>
    </w:lvl>
    <w:lvl w:ilvl="2" w:tplc="E8E898D6">
      <w:start w:val="1"/>
      <w:numFmt w:val="bullet"/>
      <w:lvlText w:val="•"/>
      <w:lvlJc w:val="left"/>
      <w:pPr>
        <w:tabs>
          <w:tab w:val="num" w:pos="2160"/>
        </w:tabs>
        <w:ind w:left="2160" w:hanging="360"/>
      </w:pPr>
      <w:rPr>
        <w:rFonts w:ascii="Arial" w:hAnsi="Arial" w:cs="Times New Roman" w:hint="default"/>
      </w:rPr>
    </w:lvl>
    <w:lvl w:ilvl="3" w:tplc="C5CA8D04">
      <w:start w:val="1"/>
      <w:numFmt w:val="bullet"/>
      <w:lvlText w:val="•"/>
      <w:lvlJc w:val="left"/>
      <w:pPr>
        <w:tabs>
          <w:tab w:val="num" w:pos="2880"/>
        </w:tabs>
        <w:ind w:left="2880" w:hanging="360"/>
      </w:pPr>
      <w:rPr>
        <w:rFonts w:ascii="Arial" w:hAnsi="Arial" w:cs="Times New Roman" w:hint="default"/>
      </w:rPr>
    </w:lvl>
    <w:lvl w:ilvl="4" w:tplc="4C7A4B22">
      <w:start w:val="1"/>
      <w:numFmt w:val="bullet"/>
      <w:lvlText w:val="•"/>
      <w:lvlJc w:val="left"/>
      <w:pPr>
        <w:tabs>
          <w:tab w:val="num" w:pos="3600"/>
        </w:tabs>
        <w:ind w:left="3600" w:hanging="360"/>
      </w:pPr>
      <w:rPr>
        <w:rFonts w:ascii="Arial" w:hAnsi="Arial" w:cs="Times New Roman" w:hint="default"/>
      </w:rPr>
    </w:lvl>
    <w:lvl w:ilvl="5" w:tplc="B106E48A">
      <w:start w:val="1"/>
      <w:numFmt w:val="bullet"/>
      <w:lvlText w:val="•"/>
      <w:lvlJc w:val="left"/>
      <w:pPr>
        <w:tabs>
          <w:tab w:val="num" w:pos="4320"/>
        </w:tabs>
        <w:ind w:left="4320" w:hanging="360"/>
      </w:pPr>
      <w:rPr>
        <w:rFonts w:ascii="Arial" w:hAnsi="Arial" w:cs="Times New Roman" w:hint="default"/>
      </w:rPr>
    </w:lvl>
    <w:lvl w:ilvl="6" w:tplc="48B81432">
      <w:start w:val="1"/>
      <w:numFmt w:val="bullet"/>
      <w:lvlText w:val="•"/>
      <w:lvlJc w:val="left"/>
      <w:pPr>
        <w:tabs>
          <w:tab w:val="num" w:pos="5040"/>
        </w:tabs>
        <w:ind w:left="5040" w:hanging="360"/>
      </w:pPr>
      <w:rPr>
        <w:rFonts w:ascii="Arial" w:hAnsi="Arial" w:cs="Times New Roman" w:hint="default"/>
      </w:rPr>
    </w:lvl>
    <w:lvl w:ilvl="7" w:tplc="1F9AC96C">
      <w:start w:val="1"/>
      <w:numFmt w:val="bullet"/>
      <w:lvlText w:val="•"/>
      <w:lvlJc w:val="left"/>
      <w:pPr>
        <w:tabs>
          <w:tab w:val="num" w:pos="5760"/>
        </w:tabs>
        <w:ind w:left="5760" w:hanging="360"/>
      </w:pPr>
      <w:rPr>
        <w:rFonts w:ascii="Arial" w:hAnsi="Arial" w:cs="Times New Roman" w:hint="default"/>
      </w:rPr>
    </w:lvl>
    <w:lvl w:ilvl="8" w:tplc="C9B4A5B2">
      <w:start w:val="1"/>
      <w:numFmt w:val="bullet"/>
      <w:lvlText w:val="•"/>
      <w:lvlJc w:val="left"/>
      <w:pPr>
        <w:tabs>
          <w:tab w:val="num" w:pos="6480"/>
        </w:tabs>
        <w:ind w:left="6480" w:hanging="360"/>
      </w:pPr>
      <w:rPr>
        <w:rFonts w:ascii="Arial" w:hAnsi="Arial" w:cs="Times New Roman" w:hint="default"/>
      </w:r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4"/>
  </w:num>
  <w:num w:numId="17">
    <w:abstractNumId w:val="4"/>
  </w:num>
  <w:num w:numId="18">
    <w:abstractNumId w:val="21"/>
  </w:num>
  <w:num w:numId="19">
    <w:abstractNumId w:val="15"/>
  </w:num>
  <w:num w:numId="20">
    <w:abstractNumId w:val="17"/>
  </w:num>
  <w:num w:numId="21">
    <w:abstractNumId w:val="12"/>
  </w:num>
  <w:num w:numId="22">
    <w:abstractNumId w:val="17"/>
  </w:num>
  <w:num w:numId="23">
    <w:abstractNumId w:val="11"/>
  </w:num>
  <w:num w:numId="24">
    <w:abstractNumId w:val="19"/>
  </w:num>
  <w:num w:numId="25">
    <w:abstractNumId w:val="17"/>
  </w:num>
  <w:num w:numId="26">
    <w:abstractNumId w:val="17"/>
  </w:num>
  <w:num w:numId="27">
    <w:abstractNumId w:val="17"/>
  </w:num>
  <w:num w:numId="28">
    <w:abstractNumId w:val="5"/>
  </w:num>
  <w:num w:numId="29">
    <w:abstractNumId w:val="7"/>
  </w:num>
  <w:num w:numId="30">
    <w:abstractNumId w:val="17"/>
  </w:num>
  <w:num w:numId="31">
    <w:abstractNumId w:val="6"/>
  </w:num>
  <w:num w:numId="32">
    <w:abstractNumId w:val="17"/>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1F5"/>
    <w:rsid w:val="000006E1"/>
    <w:rsid w:val="00002A37"/>
    <w:rsid w:val="000039F4"/>
    <w:rsid w:val="00006446"/>
    <w:rsid w:val="00006896"/>
    <w:rsid w:val="00007CDC"/>
    <w:rsid w:val="00011B28"/>
    <w:rsid w:val="00014781"/>
    <w:rsid w:val="00015D15"/>
    <w:rsid w:val="00021099"/>
    <w:rsid w:val="0002564D"/>
    <w:rsid w:val="00025D36"/>
    <w:rsid w:val="00025ECA"/>
    <w:rsid w:val="000321E4"/>
    <w:rsid w:val="000325B8"/>
    <w:rsid w:val="00034C15"/>
    <w:rsid w:val="00035146"/>
    <w:rsid w:val="00036BA1"/>
    <w:rsid w:val="00040D06"/>
    <w:rsid w:val="000422E2"/>
    <w:rsid w:val="00042F22"/>
    <w:rsid w:val="000444EF"/>
    <w:rsid w:val="00052A07"/>
    <w:rsid w:val="00052A28"/>
    <w:rsid w:val="000534E3"/>
    <w:rsid w:val="0005606A"/>
    <w:rsid w:val="00057117"/>
    <w:rsid w:val="000616E7"/>
    <w:rsid w:val="0006487E"/>
    <w:rsid w:val="00065E1A"/>
    <w:rsid w:val="00077E5F"/>
    <w:rsid w:val="0008036A"/>
    <w:rsid w:val="00081AE6"/>
    <w:rsid w:val="00083920"/>
    <w:rsid w:val="000855EB"/>
    <w:rsid w:val="00085B52"/>
    <w:rsid w:val="000866F2"/>
    <w:rsid w:val="00087C88"/>
    <w:rsid w:val="0009009F"/>
    <w:rsid w:val="00091557"/>
    <w:rsid w:val="000924C1"/>
    <w:rsid w:val="000924F0"/>
    <w:rsid w:val="00093474"/>
    <w:rsid w:val="0009510F"/>
    <w:rsid w:val="000970D7"/>
    <w:rsid w:val="000A1B7B"/>
    <w:rsid w:val="000A56F2"/>
    <w:rsid w:val="000B0358"/>
    <w:rsid w:val="000B2719"/>
    <w:rsid w:val="000B3A8F"/>
    <w:rsid w:val="000B4053"/>
    <w:rsid w:val="000B4AB9"/>
    <w:rsid w:val="000B58C3"/>
    <w:rsid w:val="000B61E9"/>
    <w:rsid w:val="000C165A"/>
    <w:rsid w:val="000C2E19"/>
    <w:rsid w:val="000C5D60"/>
    <w:rsid w:val="000C63ED"/>
    <w:rsid w:val="000D0D07"/>
    <w:rsid w:val="000D1252"/>
    <w:rsid w:val="000D219A"/>
    <w:rsid w:val="000D4797"/>
    <w:rsid w:val="000E0527"/>
    <w:rsid w:val="000E1E92"/>
    <w:rsid w:val="000F06D6"/>
    <w:rsid w:val="000F0EB1"/>
    <w:rsid w:val="000F1106"/>
    <w:rsid w:val="000F3BE9"/>
    <w:rsid w:val="000F3F6C"/>
    <w:rsid w:val="000F6DF3"/>
    <w:rsid w:val="000F7503"/>
    <w:rsid w:val="001005FF"/>
    <w:rsid w:val="0010532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0569"/>
    <w:rsid w:val="00173A8E"/>
    <w:rsid w:val="00177795"/>
    <w:rsid w:val="00180673"/>
    <w:rsid w:val="0018143F"/>
    <w:rsid w:val="00185D7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0D9"/>
    <w:rsid w:val="001F3916"/>
    <w:rsid w:val="001F54C5"/>
    <w:rsid w:val="001F662C"/>
    <w:rsid w:val="001F7074"/>
    <w:rsid w:val="00200490"/>
    <w:rsid w:val="00201F3A"/>
    <w:rsid w:val="00203F96"/>
    <w:rsid w:val="00205263"/>
    <w:rsid w:val="002069B2"/>
    <w:rsid w:val="00207FA3"/>
    <w:rsid w:val="00214DA8"/>
    <w:rsid w:val="00215423"/>
    <w:rsid w:val="002158FA"/>
    <w:rsid w:val="002177EF"/>
    <w:rsid w:val="00220600"/>
    <w:rsid w:val="002224DB"/>
    <w:rsid w:val="00223FCB"/>
    <w:rsid w:val="002252C3"/>
    <w:rsid w:val="00225C54"/>
    <w:rsid w:val="00230765"/>
    <w:rsid w:val="002319E4"/>
    <w:rsid w:val="00231DEF"/>
    <w:rsid w:val="002330B3"/>
    <w:rsid w:val="00235632"/>
    <w:rsid w:val="00235872"/>
    <w:rsid w:val="002401F0"/>
    <w:rsid w:val="00241559"/>
    <w:rsid w:val="002435B3"/>
    <w:rsid w:val="0024413E"/>
    <w:rsid w:val="002448FE"/>
    <w:rsid w:val="002458EB"/>
    <w:rsid w:val="00247F6C"/>
    <w:rsid w:val="002500C8"/>
    <w:rsid w:val="00250612"/>
    <w:rsid w:val="00251B6B"/>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9DA"/>
    <w:rsid w:val="0028280A"/>
    <w:rsid w:val="00286ACD"/>
    <w:rsid w:val="00287838"/>
    <w:rsid w:val="002907B5"/>
    <w:rsid w:val="00292EB7"/>
    <w:rsid w:val="00296227"/>
    <w:rsid w:val="00296F44"/>
    <w:rsid w:val="0029721D"/>
    <w:rsid w:val="0029777D"/>
    <w:rsid w:val="002A055E"/>
    <w:rsid w:val="002A16B2"/>
    <w:rsid w:val="002A1D4E"/>
    <w:rsid w:val="002A23C1"/>
    <w:rsid w:val="002A2869"/>
    <w:rsid w:val="002A3703"/>
    <w:rsid w:val="002A443F"/>
    <w:rsid w:val="002A45D6"/>
    <w:rsid w:val="002B24D6"/>
    <w:rsid w:val="002C41E6"/>
    <w:rsid w:val="002D071A"/>
    <w:rsid w:val="002D34B2"/>
    <w:rsid w:val="002D7637"/>
    <w:rsid w:val="002E17F2"/>
    <w:rsid w:val="002E1CD2"/>
    <w:rsid w:val="002E2CA8"/>
    <w:rsid w:val="002E7CAE"/>
    <w:rsid w:val="002F2771"/>
    <w:rsid w:val="002F37A9"/>
    <w:rsid w:val="00301CE6"/>
    <w:rsid w:val="0030256B"/>
    <w:rsid w:val="0030501F"/>
    <w:rsid w:val="003060B0"/>
    <w:rsid w:val="00307220"/>
    <w:rsid w:val="00307BA1"/>
    <w:rsid w:val="00311702"/>
    <w:rsid w:val="00311E82"/>
    <w:rsid w:val="00313FD6"/>
    <w:rsid w:val="003143BD"/>
    <w:rsid w:val="003203ED"/>
    <w:rsid w:val="00322C9F"/>
    <w:rsid w:val="00324D23"/>
    <w:rsid w:val="0033056C"/>
    <w:rsid w:val="00331751"/>
    <w:rsid w:val="00334579"/>
    <w:rsid w:val="00335858"/>
    <w:rsid w:val="00336BDA"/>
    <w:rsid w:val="00342BD7"/>
    <w:rsid w:val="00343A07"/>
    <w:rsid w:val="00346DB5"/>
    <w:rsid w:val="003473AE"/>
    <w:rsid w:val="003477B1"/>
    <w:rsid w:val="003515F8"/>
    <w:rsid w:val="00352033"/>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23E2"/>
    <w:rsid w:val="003B369F"/>
    <w:rsid w:val="003B36A3"/>
    <w:rsid w:val="003B460B"/>
    <w:rsid w:val="003B7FE5"/>
    <w:rsid w:val="003C11C8"/>
    <w:rsid w:val="003C2388"/>
    <w:rsid w:val="003C2702"/>
    <w:rsid w:val="003C4264"/>
    <w:rsid w:val="003C50AA"/>
    <w:rsid w:val="003C7806"/>
    <w:rsid w:val="003D08F1"/>
    <w:rsid w:val="003D109F"/>
    <w:rsid w:val="003D2478"/>
    <w:rsid w:val="003D3C45"/>
    <w:rsid w:val="003D5B1F"/>
    <w:rsid w:val="003E15AD"/>
    <w:rsid w:val="003E15FA"/>
    <w:rsid w:val="003E4A63"/>
    <w:rsid w:val="003E55E4"/>
    <w:rsid w:val="003E74E3"/>
    <w:rsid w:val="003E7BCD"/>
    <w:rsid w:val="003F05C7"/>
    <w:rsid w:val="003F0C90"/>
    <w:rsid w:val="003F2CD4"/>
    <w:rsid w:val="003F6BBE"/>
    <w:rsid w:val="004000E8"/>
    <w:rsid w:val="00402E2B"/>
    <w:rsid w:val="0040512B"/>
    <w:rsid w:val="00405CA5"/>
    <w:rsid w:val="00405E5F"/>
    <w:rsid w:val="00407869"/>
    <w:rsid w:val="00407CD3"/>
    <w:rsid w:val="00410134"/>
    <w:rsid w:val="00410B72"/>
    <w:rsid w:val="00410F18"/>
    <w:rsid w:val="0041263E"/>
    <w:rsid w:val="00413AAC"/>
    <w:rsid w:val="004208D1"/>
    <w:rsid w:val="00421105"/>
    <w:rsid w:val="004242F4"/>
    <w:rsid w:val="00427248"/>
    <w:rsid w:val="00433315"/>
    <w:rsid w:val="00437447"/>
    <w:rsid w:val="00441A92"/>
    <w:rsid w:val="00444AB8"/>
    <w:rsid w:val="00444F56"/>
    <w:rsid w:val="00446488"/>
    <w:rsid w:val="004475D6"/>
    <w:rsid w:val="00447B1B"/>
    <w:rsid w:val="004517AA"/>
    <w:rsid w:val="00452CAC"/>
    <w:rsid w:val="00457565"/>
    <w:rsid w:val="00457B71"/>
    <w:rsid w:val="004669E2"/>
    <w:rsid w:val="00470C31"/>
    <w:rsid w:val="004734D0"/>
    <w:rsid w:val="0047556B"/>
    <w:rsid w:val="00477768"/>
    <w:rsid w:val="00484157"/>
    <w:rsid w:val="00492BC5"/>
    <w:rsid w:val="004964F1"/>
    <w:rsid w:val="004A0DC2"/>
    <w:rsid w:val="004A16BC"/>
    <w:rsid w:val="004A1D31"/>
    <w:rsid w:val="004A2B94"/>
    <w:rsid w:val="004B3289"/>
    <w:rsid w:val="004B7C0C"/>
    <w:rsid w:val="004C2DB9"/>
    <w:rsid w:val="004C3898"/>
    <w:rsid w:val="004D36B1"/>
    <w:rsid w:val="004D4C36"/>
    <w:rsid w:val="004D7EBD"/>
    <w:rsid w:val="004E02C5"/>
    <w:rsid w:val="004E2680"/>
    <w:rsid w:val="004E28F9"/>
    <w:rsid w:val="004E3C41"/>
    <w:rsid w:val="004E4416"/>
    <w:rsid w:val="004E462E"/>
    <w:rsid w:val="004E56DC"/>
    <w:rsid w:val="004E76F4"/>
    <w:rsid w:val="004F0B4E"/>
    <w:rsid w:val="004F0B6C"/>
    <w:rsid w:val="004F2078"/>
    <w:rsid w:val="004F4DA3"/>
    <w:rsid w:val="00506557"/>
    <w:rsid w:val="0050677A"/>
    <w:rsid w:val="005108D8"/>
    <w:rsid w:val="005116F9"/>
    <w:rsid w:val="005153A7"/>
    <w:rsid w:val="005219CF"/>
    <w:rsid w:val="00521F19"/>
    <w:rsid w:val="00530092"/>
    <w:rsid w:val="0053386C"/>
    <w:rsid w:val="00534B59"/>
    <w:rsid w:val="00536759"/>
    <w:rsid w:val="0053694C"/>
    <w:rsid w:val="00537C62"/>
    <w:rsid w:val="00542D89"/>
    <w:rsid w:val="00546970"/>
    <w:rsid w:val="00554E19"/>
    <w:rsid w:val="0056121F"/>
    <w:rsid w:val="00572505"/>
    <w:rsid w:val="005750BD"/>
    <w:rsid w:val="00582809"/>
    <w:rsid w:val="00584113"/>
    <w:rsid w:val="0058798C"/>
    <w:rsid w:val="005900FA"/>
    <w:rsid w:val="005935A4"/>
    <w:rsid w:val="005948C2"/>
    <w:rsid w:val="00595DCA"/>
    <w:rsid w:val="0059779B"/>
    <w:rsid w:val="005A209A"/>
    <w:rsid w:val="005A662D"/>
    <w:rsid w:val="005B35D7"/>
    <w:rsid w:val="005B392A"/>
    <w:rsid w:val="005B3AA3"/>
    <w:rsid w:val="005B591A"/>
    <w:rsid w:val="005B6F83"/>
    <w:rsid w:val="005C3B6C"/>
    <w:rsid w:val="005C62C4"/>
    <w:rsid w:val="005C74FB"/>
    <w:rsid w:val="005D1602"/>
    <w:rsid w:val="005E2010"/>
    <w:rsid w:val="005E385F"/>
    <w:rsid w:val="005E5B81"/>
    <w:rsid w:val="005E6104"/>
    <w:rsid w:val="005F2CB1"/>
    <w:rsid w:val="005F3025"/>
    <w:rsid w:val="005F618C"/>
    <w:rsid w:val="005F70BD"/>
    <w:rsid w:val="00601291"/>
    <w:rsid w:val="0060283C"/>
    <w:rsid w:val="0060324F"/>
    <w:rsid w:val="00604F14"/>
    <w:rsid w:val="0060799E"/>
    <w:rsid w:val="00611B83"/>
    <w:rsid w:val="00613257"/>
    <w:rsid w:val="00614C1B"/>
    <w:rsid w:val="0061725D"/>
    <w:rsid w:val="00620A71"/>
    <w:rsid w:val="00620D80"/>
    <w:rsid w:val="006234A6"/>
    <w:rsid w:val="00630001"/>
    <w:rsid w:val="006311B3"/>
    <w:rsid w:val="0063284C"/>
    <w:rsid w:val="00636398"/>
    <w:rsid w:val="0063664D"/>
    <w:rsid w:val="006368D3"/>
    <w:rsid w:val="006377EC"/>
    <w:rsid w:val="006404C8"/>
    <w:rsid w:val="0064151F"/>
    <w:rsid w:val="00641533"/>
    <w:rsid w:val="0064208D"/>
    <w:rsid w:val="006431EF"/>
    <w:rsid w:val="00643475"/>
    <w:rsid w:val="0064396A"/>
    <w:rsid w:val="0064624E"/>
    <w:rsid w:val="00646A65"/>
    <w:rsid w:val="00650AB9"/>
    <w:rsid w:val="00655733"/>
    <w:rsid w:val="00655ACD"/>
    <w:rsid w:val="00656A92"/>
    <w:rsid w:val="00656DDE"/>
    <w:rsid w:val="0066011D"/>
    <w:rsid w:val="006607C0"/>
    <w:rsid w:val="00661341"/>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78C"/>
    <w:rsid w:val="00695FC2"/>
    <w:rsid w:val="00696949"/>
    <w:rsid w:val="00697052"/>
    <w:rsid w:val="006A46FB"/>
    <w:rsid w:val="006A5E28"/>
    <w:rsid w:val="006A697B"/>
    <w:rsid w:val="006A7AFF"/>
    <w:rsid w:val="006B1816"/>
    <w:rsid w:val="006B2099"/>
    <w:rsid w:val="006B241F"/>
    <w:rsid w:val="006B50CF"/>
    <w:rsid w:val="006B7DF0"/>
    <w:rsid w:val="006C03B8"/>
    <w:rsid w:val="006C5EC9"/>
    <w:rsid w:val="006C6059"/>
    <w:rsid w:val="006C7522"/>
    <w:rsid w:val="006D2666"/>
    <w:rsid w:val="006D6F08"/>
    <w:rsid w:val="006E062C"/>
    <w:rsid w:val="006E1843"/>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3E8E"/>
    <w:rsid w:val="007571E1"/>
    <w:rsid w:val="007604B2"/>
    <w:rsid w:val="007629A3"/>
    <w:rsid w:val="00764B5E"/>
    <w:rsid w:val="00765281"/>
    <w:rsid w:val="00766BAD"/>
    <w:rsid w:val="007725F9"/>
    <w:rsid w:val="007730BD"/>
    <w:rsid w:val="00773893"/>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BCC"/>
    <w:rsid w:val="007C60BF"/>
    <w:rsid w:val="007C6A07"/>
    <w:rsid w:val="007C75A1"/>
    <w:rsid w:val="007C77A5"/>
    <w:rsid w:val="007D04E5"/>
    <w:rsid w:val="007D5901"/>
    <w:rsid w:val="007D7526"/>
    <w:rsid w:val="007D75F2"/>
    <w:rsid w:val="007E4610"/>
    <w:rsid w:val="007E4715"/>
    <w:rsid w:val="007E505B"/>
    <w:rsid w:val="007E57E6"/>
    <w:rsid w:val="007E7091"/>
    <w:rsid w:val="007F1E22"/>
    <w:rsid w:val="007F39B9"/>
    <w:rsid w:val="007F4288"/>
    <w:rsid w:val="007F7E8E"/>
    <w:rsid w:val="00800FF7"/>
    <w:rsid w:val="00803EAC"/>
    <w:rsid w:val="00803FAE"/>
    <w:rsid w:val="0080605F"/>
    <w:rsid w:val="00807786"/>
    <w:rsid w:val="00811FCB"/>
    <w:rsid w:val="008158D6"/>
    <w:rsid w:val="00817196"/>
    <w:rsid w:val="008234FD"/>
    <w:rsid w:val="008235DB"/>
    <w:rsid w:val="00824AB4"/>
    <w:rsid w:val="00825C42"/>
    <w:rsid w:val="00825D25"/>
    <w:rsid w:val="00827D6F"/>
    <w:rsid w:val="008306F8"/>
    <w:rsid w:val="008376AC"/>
    <w:rsid w:val="0084046A"/>
    <w:rsid w:val="00843E5E"/>
    <w:rsid w:val="008444E8"/>
    <w:rsid w:val="00844E80"/>
    <w:rsid w:val="00846FE7"/>
    <w:rsid w:val="00854F97"/>
    <w:rsid w:val="00856911"/>
    <w:rsid w:val="00856D82"/>
    <w:rsid w:val="00864907"/>
    <w:rsid w:val="008658B9"/>
    <w:rsid w:val="008677FD"/>
    <w:rsid w:val="008706D4"/>
    <w:rsid w:val="00870F8A"/>
    <w:rsid w:val="008719A4"/>
    <w:rsid w:val="00871D23"/>
    <w:rsid w:val="008725D5"/>
    <w:rsid w:val="00874312"/>
    <w:rsid w:val="0087437C"/>
    <w:rsid w:val="00875CD7"/>
    <w:rsid w:val="00876B4D"/>
    <w:rsid w:val="00877F18"/>
    <w:rsid w:val="00894A88"/>
    <w:rsid w:val="00895386"/>
    <w:rsid w:val="008A21FF"/>
    <w:rsid w:val="008A2CE2"/>
    <w:rsid w:val="008A30AC"/>
    <w:rsid w:val="008A32DC"/>
    <w:rsid w:val="008A44B8"/>
    <w:rsid w:val="008A51A8"/>
    <w:rsid w:val="008A54C7"/>
    <w:rsid w:val="008A77D8"/>
    <w:rsid w:val="008B02AF"/>
    <w:rsid w:val="008B0483"/>
    <w:rsid w:val="008B120C"/>
    <w:rsid w:val="008B2B8A"/>
    <w:rsid w:val="008B51A0"/>
    <w:rsid w:val="008B592A"/>
    <w:rsid w:val="008B7B5C"/>
    <w:rsid w:val="008C0C99"/>
    <w:rsid w:val="008C2017"/>
    <w:rsid w:val="008C4958"/>
    <w:rsid w:val="008C4BAA"/>
    <w:rsid w:val="008C6AE8"/>
    <w:rsid w:val="008C6FE5"/>
    <w:rsid w:val="008C7573"/>
    <w:rsid w:val="008C7F19"/>
    <w:rsid w:val="008D34F1"/>
    <w:rsid w:val="008D39D8"/>
    <w:rsid w:val="008D6D1A"/>
    <w:rsid w:val="008E065E"/>
    <w:rsid w:val="008E0927"/>
    <w:rsid w:val="008E1909"/>
    <w:rsid w:val="008E6ED1"/>
    <w:rsid w:val="008F1EAB"/>
    <w:rsid w:val="008F33DC"/>
    <w:rsid w:val="008F477F"/>
    <w:rsid w:val="00901E8C"/>
    <w:rsid w:val="00902350"/>
    <w:rsid w:val="0090336B"/>
    <w:rsid w:val="0090522D"/>
    <w:rsid w:val="009053AA"/>
    <w:rsid w:val="00906939"/>
    <w:rsid w:val="00907345"/>
    <w:rsid w:val="00910B7D"/>
    <w:rsid w:val="00911DFB"/>
    <w:rsid w:val="009139D9"/>
    <w:rsid w:val="00914199"/>
    <w:rsid w:val="00914AD8"/>
    <w:rsid w:val="00914DB8"/>
    <w:rsid w:val="00916079"/>
    <w:rsid w:val="00917CE9"/>
    <w:rsid w:val="00920BF2"/>
    <w:rsid w:val="00920F11"/>
    <w:rsid w:val="00922010"/>
    <w:rsid w:val="009263C4"/>
    <w:rsid w:val="00926E69"/>
    <w:rsid w:val="00931BD9"/>
    <w:rsid w:val="009368F3"/>
    <w:rsid w:val="00941636"/>
    <w:rsid w:val="00943742"/>
    <w:rsid w:val="00945C05"/>
    <w:rsid w:val="00946945"/>
    <w:rsid w:val="00947713"/>
    <w:rsid w:val="00947851"/>
    <w:rsid w:val="00950DE7"/>
    <w:rsid w:val="00951098"/>
    <w:rsid w:val="00953920"/>
    <w:rsid w:val="00953D47"/>
    <w:rsid w:val="00955801"/>
    <w:rsid w:val="0095681E"/>
    <w:rsid w:val="009572D4"/>
    <w:rsid w:val="00961921"/>
    <w:rsid w:val="0096430A"/>
    <w:rsid w:val="0096554B"/>
    <w:rsid w:val="0096584A"/>
    <w:rsid w:val="00971F08"/>
    <w:rsid w:val="00975B03"/>
    <w:rsid w:val="0097603D"/>
    <w:rsid w:val="00976949"/>
    <w:rsid w:val="00977760"/>
    <w:rsid w:val="00980477"/>
    <w:rsid w:val="00982EC6"/>
    <w:rsid w:val="00985253"/>
    <w:rsid w:val="009853B3"/>
    <w:rsid w:val="009859A9"/>
    <w:rsid w:val="00990630"/>
    <w:rsid w:val="00991761"/>
    <w:rsid w:val="00994DCA"/>
    <w:rsid w:val="009960EC"/>
    <w:rsid w:val="009970DD"/>
    <w:rsid w:val="009A0FBA"/>
    <w:rsid w:val="009A1601"/>
    <w:rsid w:val="009A462D"/>
    <w:rsid w:val="009A5CBA"/>
    <w:rsid w:val="009A62C3"/>
    <w:rsid w:val="009B1F30"/>
    <w:rsid w:val="009B3AC2"/>
    <w:rsid w:val="009B4DF4"/>
    <w:rsid w:val="009B564E"/>
    <w:rsid w:val="009B7E87"/>
    <w:rsid w:val="009C403E"/>
    <w:rsid w:val="009C7EB6"/>
    <w:rsid w:val="009D4FF0"/>
    <w:rsid w:val="009D703C"/>
    <w:rsid w:val="009D718F"/>
    <w:rsid w:val="009E068F"/>
    <w:rsid w:val="009E14E0"/>
    <w:rsid w:val="009E3553"/>
    <w:rsid w:val="009E35DB"/>
    <w:rsid w:val="009E47A3"/>
    <w:rsid w:val="009F08F3"/>
    <w:rsid w:val="009F344F"/>
    <w:rsid w:val="009F7266"/>
    <w:rsid w:val="00A03990"/>
    <w:rsid w:val="00A048A8"/>
    <w:rsid w:val="00A04F49"/>
    <w:rsid w:val="00A13E54"/>
    <w:rsid w:val="00A13F34"/>
    <w:rsid w:val="00A142AA"/>
    <w:rsid w:val="00A17F63"/>
    <w:rsid w:val="00A2052C"/>
    <w:rsid w:val="00A2193B"/>
    <w:rsid w:val="00A2351A"/>
    <w:rsid w:val="00A264A9"/>
    <w:rsid w:val="00A27785"/>
    <w:rsid w:val="00A30187"/>
    <w:rsid w:val="00A33DD0"/>
    <w:rsid w:val="00A3448A"/>
    <w:rsid w:val="00A36297"/>
    <w:rsid w:val="00A41E2B"/>
    <w:rsid w:val="00A45B74"/>
    <w:rsid w:val="00A46915"/>
    <w:rsid w:val="00A47019"/>
    <w:rsid w:val="00A52E1D"/>
    <w:rsid w:val="00A61499"/>
    <w:rsid w:val="00A617CA"/>
    <w:rsid w:val="00A62A77"/>
    <w:rsid w:val="00A63483"/>
    <w:rsid w:val="00A657D7"/>
    <w:rsid w:val="00A660AC"/>
    <w:rsid w:val="00A66F55"/>
    <w:rsid w:val="00A67E6C"/>
    <w:rsid w:val="00A71B99"/>
    <w:rsid w:val="00A739D0"/>
    <w:rsid w:val="00A7413D"/>
    <w:rsid w:val="00A74334"/>
    <w:rsid w:val="00A761D4"/>
    <w:rsid w:val="00A77EC4"/>
    <w:rsid w:val="00A91362"/>
    <w:rsid w:val="00A92879"/>
    <w:rsid w:val="00A9442A"/>
    <w:rsid w:val="00AA016F"/>
    <w:rsid w:val="00AA1ED6"/>
    <w:rsid w:val="00AA2CB8"/>
    <w:rsid w:val="00AA451C"/>
    <w:rsid w:val="00AA51D6"/>
    <w:rsid w:val="00AB0BC8"/>
    <w:rsid w:val="00AB0F24"/>
    <w:rsid w:val="00AB11CA"/>
    <w:rsid w:val="00AB14D9"/>
    <w:rsid w:val="00AB4AB8"/>
    <w:rsid w:val="00AB655E"/>
    <w:rsid w:val="00AC007F"/>
    <w:rsid w:val="00AC2ECD"/>
    <w:rsid w:val="00AC3119"/>
    <w:rsid w:val="00AC49FB"/>
    <w:rsid w:val="00AC4C05"/>
    <w:rsid w:val="00AC5A10"/>
    <w:rsid w:val="00AC5DC1"/>
    <w:rsid w:val="00AD0AA3"/>
    <w:rsid w:val="00AD24F5"/>
    <w:rsid w:val="00AD3F94"/>
    <w:rsid w:val="00AD4A5A"/>
    <w:rsid w:val="00AE27AC"/>
    <w:rsid w:val="00AE3743"/>
    <w:rsid w:val="00AE40E0"/>
    <w:rsid w:val="00AE4DBA"/>
    <w:rsid w:val="00AE4F07"/>
    <w:rsid w:val="00AF1C5D"/>
    <w:rsid w:val="00AF42D7"/>
    <w:rsid w:val="00AF71E8"/>
    <w:rsid w:val="00B006FE"/>
    <w:rsid w:val="00B007CB"/>
    <w:rsid w:val="00B02AA9"/>
    <w:rsid w:val="00B02FA3"/>
    <w:rsid w:val="00B05084"/>
    <w:rsid w:val="00B11132"/>
    <w:rsid w:val="00B157F9"/>
    <w:rsid w:val="00B20256"/>
    <w:rsid w:val="00B20D09"/>
    <w:rsid w:val="00B237D4"/>
    <w:rsid w:val="00B2763F"/>
    <w:rsid w:val="00B27AAC"/>
    <w:rsid w:val="00B30929"/>
    <w:rsid w:val="00B372AA"/>
    <w:rsid w:val="00B40445"/>
    <w:rsid w:val="00B41888"/>
    <w:rsid w:val="00B45388"/>
    <w:rsid w:val="00B45A52"/>
    <w:rsid w:val="00B46175"/>
    <w:rsid w:val="00B47C9C"/>
    <w:rsid w:val="00B51B47"/>
    <w:rsid w:val="00B54A22"/>
    <w:rsid w:val="00B6188F"/>
    <w:rsid w:val="00B64D30"/>
    <w:rsid w:val="00B664C7"/>
    <w:rsid w:val="00B72D30"/>
    <w:rsid w:val="00B739F6"/>
    <w:rsid w:val="00B81A6C"/>
    <w:rsid w:val="00B85DE5"/>
    <w:rsid w:val="00B90F73"/>
    <w:rsid w:val="00B93B59"/>
    <w:rsid w:val="00B9406A"/>
    <w:rsid w:val="00BA1EB7"/>
    <w:rsid w:val="00BA2280"/>
    <w:rsid w:val="00BA2A08"/>
    <w:rsid w:val="00BA56D2"/>
    <w:rsid w:val="00BA72C6"/>
    <w:rsid w:val="00BA76E0"/>
    <w:rsid w:val="00BB2A25"/>
    <w:rsid w:val="00BB4070"/>
    <w:rsid w:val="00BB51E9"/>
    <w:rsid w:val="00BC0FDC"/>
    <w:rsid w:val="00BC3053"/>
    <w:rsid w:val="00BC4D2E"/>
    <w:rsid w:val="00BD3BEA"/>
    <w:rsid w:val="00BD48AC"/>
    <w:rsid w:val="00BD5F1A"/>
    <w:rsid w:val="00BE024D"/>
    <w:rsid w:val="00BE1234"/>
    <w:rsid w:val="00BE2FA6"/>
    <w:rsid w:val="00BE333F"/>
    <w:rsid w:val="00BE7406"/>
    <w:rsid w:val="00BE7603"/>
    <w:rsid w:val="00BF3279"/>
    <w:rsid w:val="00BF74C7"/>
    <w:rsid w:val="00C015F1"/>
    <w:rsid w:val="00C01F33"/>
    <w:rsid w:val="00C02CC6"/>
    <w:rsid w:val="00C0367F"/>
    <w:rsid w:val="00C040F7"/>
    <w:rsid w:val="00C041B0"/>
    <w:rsid w:val="00C044AB"/>
    <w:rsid w:val="00C05706"/>
    <w:rsid w:val="00C05C2D"/>
    <w:rsid w:val="00C05C5E"/>
    <w:rsid w:val="00C07377"/>
    <w:rsid w:val="00C10478"/>
    <w:rsid w:val="00C12107"/>
    <w:rsid w:val="00C14D4B"/>
    <w:rsid w:val="00C154BB"/>
    <w:rsid w:val="00C22E37"/>
    <w:rsid w:val="00C24345"/>
    <w:rsid w:val="00C279B5"/>
    <w:rsid w:val="00C27C45"/>
    <w:rsid w:val="00C3719D"/>
    <w:rsid w:val="00C4577B"/>
    <w:rsid w:val="00C47FAB"/>
    <w:rsid w:val="00C50A99"/>
    <w:rsid w:val="00C527D6"/>
    <w:rsid w:val="00C544E1"/>
    <w:rsid w:val="00C54995"/>
    <w:rsid w:val="00C54D41"/>
    <w:rsid w:val="00C56BEA"/>
    <w:rsid w:val="00C60783"/>
    <w:rsid w:val="00C64672"/>
    <w:rsid w:val="00C70697"/>
    <w:rsid w:val="00C72EF4"/>
    <w:rsid w:val="00C75D2F"/>
    <w:rsid w:val="00C767BE"/>
    <w:rsid w:val="00C76E3C"/>
    <w:rsid w:val="00C81568"/>
    <w:rsid w:val="00C82775"/>
    <w:rsid w:val="00C9027A"/>
    <w:rsid w:val="00C9068E"/>
    <w:rsid w:val="00C93C4B"/>
    <w:rsid w:val="00C944AB"/>
    <w:rsid w:val="00C95B40"/>
    <w:rsid w:val="00CA1ED8"/>
    <w:rsid w:val="00CB1F63"/>
    <w:rsid w:val="00CB57BA"/>
    <w:rsid w:val="00CB7170"/>
    <w:rsid w:val="00CC040E"/>
    <w:rsid w:val="00CC111F"/>
    <w:rsid w:val="00CC1FCA"/>
    <w:rsid w:val="00CC2011"/>
    <w:rsid w:val="00CC3EA0"/>
    <w:rsid w:val="00CC7B45"/>
    <w:rsid w:val="00CD1188"/>
    <w:rsid w:val="00CD21F5"/>
    <w:rsid w:val="00CD2ED1"/>
    <w:rsid w:val="00CD337B"/>
    <w:rsid w:val="00CD3F78"/>
    <w:rsid w:val="00CE0424"/>
    <w:rsid w:val="00CE7561"/>
    <w:rsid w:val="00CF1354"/>
    <w:rsid w:val="00CF3B1F"/>
    <w:rsid w:val="00CF3BF6"/>
    <w:rsid w:val="00CF625B"/>
    <w:rsid w:val="00CF687E"/>
    <w:rsid w:val="00D00833"/>
    <w:rsid w:val="00D0349B"/>
    <w:rsid w:val="00D10249"/>
    <w:rsid w:val="00D115C3"/>
    <w:rsid w:val="00D11897"/>
    <w:rsid w:val="00D13135"/>
    <w:rsid w:val="00D13E4E"/>
    <w:rsid w:val="00D16FDA"/>
    <w:rsid w:val="00D239A7"/>
    <w:rsid w:val="00D23B5B"/>
    <w:rsid w:val="00D23F47"/>
    <w:rsid w:val="00D33F68"/>
    <w:rsid w:val="00D361BA"/>
    <w:rsid w:val="00D36E71"/>
    <w:rsid w:val="00D37D87"/>
    <w:rsid w:val="00D40B33"/>
    <w:rsid w:val="00D4318F"/>
    <w:rsid w:val="00D438BF"/>
    <w:rsid w:val="00D440F8"/>
    <w:rsid w:val="00D45787"/>
    <w:rsid w:val="00D50F97"/>
    <w:rsid w:val="00D546FF"/>
    <w:rsid w:val="00D55AD5"/>
    <w:rsid w:val="00D56C12"/>
    <w:rsid w:val="00D570F5"/>
    <w:rsid w:val="00D576CA"/>
    <w:rsid w:val="00D619FD"/>
    <w:rsid w:val="00D61AF5"/>
    <w:rsid w:val="00D652B5"/>
    <w:rsid w:val="00D66155"/>
    <w:rsid w:val="00D708B0"/>
    <w:rsid w:val="00D772EA"/>
    <w:rsid w:val="00D77B1D"/>
    <w:rsid w:val="00D8021F"/>
    <w:rsid w:val="00D80383"/>
    <w:rsid w:val="00D823C6"/>
    <w:rsid w:val="00D86640"/>
    <w:rsid w:val="00D86CA3"/>
    <w:rsid w:val="00D871CE"/>
    <w:rsid w:val="00D9088C"/>
    <w:rsid w:val="00D9196D"/>
    <w:rsid w:val="00D92982"/>
    <w:rsid w:val="00DA305E"/>
    <w:rsid w:val="00DA34B4"/>
    <w:rsid w:val="00DA4D95"/>
    <w:rsid w:val="00DA5417"/>
    <w:rsid w:val="00DA56E8"/>
    <w:rsid w:val="00DA7C53"/>
    <w:rsid w:val="00DB0A9F"/>
    <w:rsid w:val="00DB377D"/>
    <w:rsid w:val="00DB4B25"/>
    <w:rsid w:val="00DC2D36"/>
    <w:rsid w:val="00DC53EF"/>
    <w:rsid w:val="00DD5F06"/>
    <w:rsid w:val="00DE5608"/>
    <w:rsid w:val="00DE58D0"/>
    <w:rsid w:val="00DE654F"/>
    <w:rsid w:val="00DF0B6E"/>
    <w:rsid w:val="00DF15E0"/>
    <w:rsid w:val="00DF37A0"/>
    <w:rsid w:val="00E110E7"/>
    <w:rsid w:val="00E11B20"/>
    <w:rsid w:val="00E17FA2"/>
    <w:rsid w:val="00E22330"/>
    <w:rsid w:val="00E2672F"/>
    <w:rsid w:val="00E2765A"/>
    <w:rsid w:val="00E30B5A"/>
    <w:rsid w:val="00E31028"/>
    <w:rsid w:val="00E3123D"/>
    <w:rsid w:val="00E31461"/>
    <w:rsid w:val="00E31D43"/>
    <w:rsid w:val="00E32608"/>
    <w:rsid w:val="00E34188"/>
    <w:rsid w:val="00E34B6E"/>
    <w:rsid w:val="00E35559"/>
    <w:rsid w:val="00E3723A"/>
    <w:rsid w:val="00E37860"/>
    <w:rsid w:val="00E446F1"/>
    <w:rsid w:val="00E46862"/>
    <w:rsid w:val="00E46886"/>
    <w:rsid w:val="00E46F53"/>
    <w:rsid w:val="00E47AEF"/>
    <w:rsid w:val="00E50214"/>
    <w:rsid w:val="00E53B75"/>
    <w:rsid w:val="00E54E3B"/>
    <w:rsid w:val="00E57565"/>
    <w:rsid w:val="00E625B9"/>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831"/>
    <w:rsid w:val="00EA7A41"/>
    <w:rsid w:val="00EB077B"/>
    <w:rsid w:val="00EB48CB"/>
    <w:rsid w:val="00EB4EA2"/>
    <w:rsid w:val="00EC27C6"/>
    <w:rsid w:val="00EC4207"/>
    <w:rsid w:val="00EC54D9"/>
    <w:rsid w:val="00EC5653"/>
    <w:rsid w:val="00EC71CE"/>
    <w:rsid w:val="00ED1006"/>
    <w:rsid w:val="00ED335C"/>
    <w:rsid w:val="00ED4C52"/>
    <w:rsid w:val="00EE61B0"/>
    <w:rsid w:val="00EF18FE"/>
    <w:rsid w:val="00EF5787"/>
    <w:rsid w:val="00EF60D0"/>
    <w:rsid w:val="00F0528D"/>
    <w:rsid w:val="00F05DE8"/>
    <w:rsid w:val="00F06C67"/>
    <w:rsid w:val="00F06DFD"/>
    <w:rsid w:val="00F071D1"/>
    <w:rsid w:val="00F07533"/>
    <w:rsid w:val="00F10629"/>
    <w:rsid w:val="00F11F19"/>
    <w:rsid w:val="00F14BA2"/>
    <w:rsid w:val="00F14E5D"/>
    <w:rsid w:val="00F15FA5"/>
    <w:rsid w:val="00F209B7"/>
    <w:rsid w:val="00F2376F"/>
    <w:rsid w:val="00F243D8"/>
    <w:rsid w:val="00F275C6"/>
    <w:rsid w:val="00F27739"/>
    <w:rsid w:val="00F30828"/>
    <w:rsid w:val="00F313D6"/>
    <w:rsid w:val="00F40F0C"/>
    <w:rsid w:val="00F4409C"/>
    <w:rsid w:val="00F4766C"/>
    <w:rsid w:val="00F507D1"/>
    <w:rsid w:val="00F51077"/>
    <w:rsid w:val="00F519CE"/>
    <w:rsid w:val="00F51ADA"/>
    <w:rsid w:val="00F607C5"/>
    <w:rsid w:val="00F60DEA"/>
    <w:rsid w:val="00F6302A"/>
    <w:rsid w:val="00F64C2B"/>
    <w:rsid w:val="00F651BE"/>
    <w:rsid w:val="00F65B78"/>
    <w:rsid w:val="00F67F53"/>
    <w:rsid w:val="00F703BE"/>
    <w:rsid w:val="00F71F69"/>
    <w:rsid w:val="00F72B72"/>
    <w:rsid w:val="00F74BB9"/>
    <w:rsid w:val="00F75582"/>
    <w:rsid w:val="00F75B1C"/>
    <w:rsid w:val="00F75FD4"/>
    <w:rsid w:val="00F76EFA"/>
    <w:rsid w:val="00F804BE"/>
    <w:rsid w:val="00F817CE"/>
    <w:rsid w:val="00F821E7"/>
    <w:rsid w:val="00F8456C"/>
    <w:rsid w:val="00F859D8"/>
    <w:rsid w:val="00F868F5"/>
    <w:rsid w:val="00F9056A"/>
    <w:rsid w:val="00F90F8D"/>
    <w:rsid w:val="00F92782"/>
    <w:rsid w:val="00F93AA9"/>
    <w:rsid w:val="00F95FD4"/>
    <w:rsid w:val="00F96985"/>
    <w:rsid w:val="00F97838"/>
    <w:rsid w:val="00FA2BB3"/>
    <w:rsid w:val="00FB4C80"/>
    <w:rsid w:val="00FB6A6A"/>
    <w:rsid w:val="00FC7429"/>
    <w:rsid w:val="00FD07F6"/>
    <w:rsid w:val="00FD1EC8"/>
    <w:rsid w:val="00FD47ED"/>
    <w:rsid w:val="00FD6E37"/>
    <w:rsid w:val="00FD74DB"/>
    <w:rsid w:val="00FD7660"/>
    <w:rsid w:val="00FE0655"/>
    <w:rsid w:val="00FE2365"/>
    <w:rsid w:val="00FE4260"/>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C75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33F68"/>
    <w:rPr>
      <w:rFonts w:asciiTheme="minorHAnsi" w:eastAsiaTheme="minorHAnsi" w:hAnsiTheme="minorHAnsi" w:cstheme="minorBidi"/>
      <w:sz w:val="24"/>
      <w:szCs w:val="24"/>
      <w:lang w:val="en-GB"/>
    </w:rPr>
  </w:style>
  <w:style w:type="paragraph" w:styleId="Heading1">
    <w:name w:val="heading 1"/>
    <w:next w:val="Normal"/>
    <w:link w:val="Heading1Char"/>
    <w:qFormat/>
    <w:rsid w:val="008A32D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32D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A32DC"/>
    <w:pPr>
      <w:numPr>
        <w:ilvl w:val="2"/>
      </w:numPr>
      <w:spacing w:before="120"/>
      <w:outlineLvl w:val="2"/>
    </w:pPr>
    <w:rPr>
      <w:sz w:val="28"/>
      <w:szCs w:val="28"/>
    </w:rPr>
  </w:style>
  <w:style w:type="paragraph" w:styleId="Heading4">
    <w:name w:val="heading 4"/>
    <w:basedOn w:val="Heading3"/>
    <w:next w:val="Normal"/>
    <w:qFormat/>
    <w:rsid w:val="008A32DC"/>
    <w:pPr>
      <w:numPr>
        <w:ilvl w:val="3"/>
      </w:numPr>
      <w:outlineLvl w:val="3"/>
    </w:pPr>
    <w:rPr>
      <w:sz w:val="24"/>
      <w:szCs w:val="24"/>
    </w:rPr>
  </w:style>
  <w:style w:type="paragraph" w:styleId="Heading5">
    <w:name w:val="heading 5"/>
    <w:basedOn w:val="Heading4"/>
    <w:next w:val="Normal"/>
    <w:qFormat/>
    <w:rsid w:val="008A32DC"/>
    <w:pPr>
      <w:numPr>
        <w:ilvl w:val="4"/>
      </w:numPr>
      <w:outlineLvl w:val="4"/>
    </w:pPr>
    <w:rPr>
      <w:sz w:val="22"/>
      <w:szCs w:val="22"/>
    </w:rPr>
  </w:style>
  <w:style w:type="paragraph" w:styleId="Heading6">
    <w:name w:val="heading 6"/>
    <w:basedOn w:val="Normal"/>
    <w:next w:val="Normal"/>
    <w:qFormat/>
    <w:rsid w:val="008A32DC"/>
    <w:pPr>
      <w:keepNext/>
      <w:keepLines/>
      <w:numPr>
        <w:ilvl w:val="5"/>
        <w:numId w:val="1"/>
      </w:numPr>
      <w:spacing w:before="120"/>
      <w:outlineLvl w:val="5"/>
    </w:pPr>
    <w:rPr>
      <w:rFonts w:cs="Arial"/>
    </w:rPr>
  </w:style>
  <w:style w:type="paragraph" w:styleId="Heading7">
    <w:name w:val="heading 7"/>
    <w:basedOn w:val="Normal"/>
    <w:next w:val="Normal"/>
    <w:qFormat/>
    <w:rsid w:val="008A32DC"/>
    <w:pPr>
      <w:keepNext/>
      <w:keepLines/>
      <w:numPr>
        <w:ilvl w:val="6"/>
        <w:numId w:val="1"/>
      </w:numPr>
      <w:spacing w:before="120"/>
      <w:outlineLvl w:val="6"/>
    </w:pPr>
    <w:rPr>
      <w:rFonts w:cs="Arial"/>
    </w:rPr>
  </w:style>
  <w:style w:type="paragraph" w:styleId="Heading8">
    <w:name w:val="heading 8"/>
    <w:basedOn w:val="Heading7"/>
    <w:next w:val="Normal"/>
    <w:qFormat/>
    <w:rsid w:val="008A32DC"/>
    <w:pPr>
      <w:numPr>
        <w:ilvl w:val="7"/>
      </w:numPr>
      <w:outlineLvl w:val="7"/>
    </w:pPr>
  </w:style>
  <w:style w:type="paragraph" w:styleId="Heading9">
    <w:name w:val="heading 9"/>
    <w:basedOn w:val="Heading8"/>
    <w:next w:val="Normal"/>
    <w:qFormat/>
    <w:rsid w:val="008A32DC"/>
    <w:pPr>
      <w:numPr>
        <w:ilvl w:val="8"/>
      </w:numPr>
      <w:outlineLvl w:val="8"/>
    </w:pPr>
  </w:style>
  <w:style w:type="character" w:default="1" w:styleId="DefaultParagraphFont">
    <w:name w:val="Default Paragraph Font"/>
    <w:uiPriority w:val="1"/>
    <w:unhideWhenUsed/>
    <w:rsid w:val="00D33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F68"/>
  </w:style>
  <w:style w:type="paragraph" w:styleId="TOC8">
    <w:name w:val="toc 8"/>
    <w:basedOn w:val="TOC1"/>
    <w:semiHidden/>
    <w:rsid w:val="008A32DC"/>
    <w:pPr>
      <w:spacing w:before="180"/>
      <w:ind w:left="2693" w:hanging="2693"/>
    </w:pPr>
    <w:rPr>
      <w:b w:val="0"/>
      <w:bCs/>
    </w:rPr>
  </w:style>
  <w:style w:type="paragraph" w:styleId="TOC1">
    <w:name w:val="toc 1"/>
    <w:aliases w:val="Observation TOC2"/>
    <w:uiPriority w:val="39"/>
    <w:rsid w:val="008A32D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A32DC"/>
    <w:pPr>
      <w:keepNext/>
      <w:keepLines/>
      <w:spacing w:before="180"/>
      <w:jc w:val="center"/>
    </w:pPr>
  </w:style>
  <w:style w:type="paragraph" w:styleId="Caption">
    <w:name w:val="caption"/>
    <w:basedOn w:val="Normal"/>
    <w:next w:val="Normal"/>
    <w:qFormat/>
    <w:rsid w:val="008A32DC"/>
    <w:pPr>
      <w:spacing w:after="240"/>
      <w:jc w:val="center"/>
    </w:pPr>
    <w:rPr>
      <w:b/>
      <w:bCs/>
    </w:rPr>
  </w:style>
  <w:style w:type="paragraph" w:styleId="TOC5">
    <w:name w:val="toc 5"/>
    <w:aliases w:val="Observation TOC"/>
    <w:basedOn w:val="TOC4"/>
    <w:semiHidden/>
    <w:rsid w:val="008A32DC"/>
    <w:pPr>
      <w:tabs>
        <w:tab w:val="right" w:pos="1701"/>
      </w:tabs>
      <w:ind w:left="1701" w:hanging="1701"/>
    </w:pPr>
  </w:style>
  <w:style w:type="paragraph" w:styleId="TOC4">
    <w:name w:val="toc 4"/>
    <w:basedOn w:val="TOC3"/>
    <w:semiHidden/>
    <w:rsid w:val="008A32DC"/>
    <w:pPr>
      <w:ind w:left="1418" w:hanging="1418"/>
    </w:pPr>
  </w:style>
  <w:style w:type="paragraph" w:styleId="TOC3">
    <w:name w:val="toc 3"/>
    <w:basedOn w:val="TOC2"/>
    <w:semiHidden/>
    <w:rsid w:val="008A32DC"/>
    <w:pPr>
      <w:ind w:left="1134" w:hanging="1134"/>
    </w:pPr>
  </w:style>
  <w:style w:type="paragraph" w:styleId="TOC2">
    <w:name w:val="toc 2"/>
    <w:basedOn w:val="TOC1"/>
    <w:semiHidden/>
    <w:rsid w:val="008A32DC"/>
    <w:pPr>
      <w:keepNext w:val="0"/>
      <w:spacing w:before="0"/>
      <w:ind w:left="851" w:hanging="851"/>
    </w:pPr>
    <w:rPr>
      <w:szCs w:val="20"/>
    </w:rPr>
  </w:style>
  <w:style w:type="paragraph" w:styleId="Index2">
    <w:name w:val="index 2"/>
    <w:basedOn w:val="Index1"/>
    <w:semiHidden/>
    <w:rsid w:val="008A32DC"/>
    <w:pPr>
      <w:ind w:left="284"/>
    </w:pPr>
  </w:style>
  <w:style w:type="paragraph" w:styleId="Index1">
    <w:name w:val="index 1"/>
    <w:basedOn w:val="Normal"/>
    <w:semiHidden/>
    <w:rsid w:val="008A32DC"/>
    <w:pPr>
      <w:keepLines/>
    </w:pPr>
  </w:style>
  <w:style w:type="paragraph" w:styleId="DocumentMap">
    <w:name w:val="Document Map"/>
    <w:basedOn w:val="Normal"/>
    <w:semiHidden/>
    <w:rsid w:val="008A32DC"/>
    <w:pPr>
      <w:shd w:val="clear" w:color="auto" w:fill="000080"/>
    </w:pPr>
    <w:rPr>
      <w:rFonts w:ascii="Tahoma" w:hAnsi="Tahoma" w:cs="Tahoma"/>
    </w:rPr>
  </w:style>
  <w:style w:type="paragraph" w:styleId="ListNumber2">
    <w:name w:val="List Number 2"/>
    <w:basedOn w:val="ListNumber"/>
    <w:rsid w:val="008A32DC"/>
    <w:pPr>
      <w:ind w:left="851"/>
    </w:pPr>
  </w:style>
  <w:style w:type="paragraph" w:styleId="ListNumber">
    <w:name w:val="List Number"/>
    <w:basedOn w:val="List"/>
    <w:rsid w:val="008A32DC"/>
  </w:style>
  <w:style w:type="paragraph" w:styleId="List">
    <w:name w:val="List"/>
    <w:basedOn w:val="Normal"/>
    <w:rsid w:val="008A32DC"/>
    <w:pPr>
      <w:ind w:left="568" w:hanging="284"/>
    </w:pPr>
  </w:style>
  <w:style w:type="paragraph" w:styleId="Header">
    <w:name w:val="header"/>
    <w:rsid w:val="008A32D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A32DC"/>
    <w:rPr>
      <w:b/>
      <w:bCs/>
      <w:position w:val="6"/>
      <w:sz w:val="16"/>
      <w:szCs w:val="16"/>
    </w:rPr>
  </w:style>
  <w:style w:type="paragraph" w:styleId="FootnoteText">
    <w:name w:val="footnote text"/>
    <w:basedOn w:val="Normal"/>
    <w:semiHidden/>
    <w:rsid w:val="008A32DC"/>
    <w:pPr>
      <w:keepLines/>
      <w:ind w:left="454" w:hanging="454"/>
    </w:pPr>
    <w:rPr>
      <w:sz w:val="16"/>
      <w:szCs w:val="16"/>
    </w:rPr>
  </w:style>
  <w:style w:type="paragraph" w:customStyle="1" w:styleId="3GPPHeader">
    <w:name w:val="3GPP_Header"/>
    <w:basedOn w:val="Normal"/>
    <w:rsid w:val="008A32DC"/>
    <w:pPr>
      <w:tabs>
        <w:tab w:val="left" w:pos="1701"/>
        <w:tab w:val="right" w:pos="9639"/>
      </w:tabs>
      <w:spacing w:after="240"/>
    </w:pPr>
    <w:rPr>
      <w:b/>
    </w:rPr>
  </w:style>
  <w:style w:type="paragraph" w:styleId="TOC9">
    <w:name w:val="toc 9"/>
    <w:basedOn w:val="TOC8"/>
    <w:semiHidden/>
    <w:rsid w:val="008A32DC"/>
    <w:pPr>
      <w:ind w:left="1418" w:hanging="1418"/>
    </w:pPr>
  </w:style>
  <w:style w:type="paragraph" w:styleId="TOC6">
    <w:name w:val="toc 6"/>
    <w:basedOn w:val="TOC5"/>
    <w:next w:val="Normal"/>
    <w:semiHidden/>
    <w:rsid w:val="008A32DC"/>
    <w:pPr>
      <w:ind w:left="1985" w:hanging="1985"/>
    </w:pPr>
  </w:style>
  <w:style w:type="paragraph" w:styleId="TOC7">
    <w:name w:val="toc 7"/>
    <w:basedOn w:val="TOC6"/>
    <w:next w:val="Normal"/>
    <w:semiHidden/>
    <w:rsid w:val="008A32DC"/>
    <w:pPr>
      <w:ind w:left="2268" w:hanging="2268"/>
    </w:pPr>
  </w:style>
  <w:style w:type="paragraph" w:styleId="ListBullet2">
    <w:name w:val="List Bullet 2"/>
    <w:basedOn w:val="ListBullet"/>
    <w:rsid w:val="008A32DC"/>
    <w:pPr>
      <w:numPr>
        <w:numId w:val="6"/>
      </w:numPr>
    </w:pPr>
  </w:style>
  <w:style w:type="paragraph" w:styleId="ListBullet">
    <w:name w:val="List Bullet"/>
    <w:basedOn w:val="BodyText"/>
    <w:rsid w:val="008A32DC"/>
    <w:pPr>
      <w:numPr>
        <w:numId w:val="5"/>
      </w:numPr>
    </w:pPr>
  </w:style>
  <w:style w:type="paragraph" w:styleId="ListBullet3">
    <w:name w:val="List Bullet 3"/>
    <w:basedOn w:val="ListBullet2"/>
    <w:rsid w:val="008A32DC"/>
    <w:pPr>
      <w:numPr>
        <w:numId w:val="7"/>
      </w:numPr>
    </w:pPr>
  </w:style>
  <w:style w:type="paragraph" w:customStyle="1" w:styleId="EQ">
    <w:name w:val="EQ"/>
    <w:basedOn w:val="Normal"/>
    <w:next w:val="Normal"/>
    <w:rsid w:val="008A32DC"/>
    <w:pPr>
      <w:keepLines/>
      <w:tabs>
        <w:tab w:val="center" w:pos="4536"/>
        <w:tab w:val="right" w:pos="9072"/>
      </w:tabs>
      <w:spacing w:after="180"/>
    </w:pPr>
    <w:rPr>
      <w:noProof/>
    </w:rPr>
  </w:style>
  <w:style w:type="paragraph" w:styleId="List2">
    <w:name w:val="List 2"/>
    <w:basedOn w:val="List"/>
    <w:rsid w:val="008A32DC"/>
    <w:pPr>
      <w:ind w:left="851"/>
    </w:pPr>
  </w:style>
  <w:style w:type="paragraph" w:styleId="List3">
    <w:name w:val="List 3"/>
    <w:basedOn w:val="List2"/>
    <w:rsid w:val="008A32DC"/>
    <w:pPr>
      <w:ind w:left="1135"/>
    </w:pPr>
  </w:style>
  <w:style w:type="paragraph" w:styleId="List4">
    <w:name w:val="List 4"/>
    <w:basedOn w:val="List3"/>
    <w:rsid w:val="008A32DC"/>
    <w:pPr>
      <w:ind w:left="1418"/>
    </w:pPr>
  </w:style>
  <w:style w:type="paragraph" w:styleId="List5">
    <w:name w:val="List 5"/>
    <w:basedOn w:val="List4"/>
    <w:rsid w:val="008A32DC"/>
    <w:pPr>
      <w:ind w:left="1702"/>
    </w:pPr>
  </w:style>
  <w:style w:type="paragraph" w:customStyle="1" w:styleId="EditorsNote">
    <w:name w:val="Editor's Note"/>
    <w:basedOn w:val="Normal"/>
    <w:rsid w:val="008A32DC"/>
    <w:pPr>
      <w:keepLines/>
      <w:spacing w:after="180"/>
      <w:ind w:left="1135" w:hanging="851"/>
    </w:pPr>
    <w:rPr>
      <w:color w:val="FF0000"/>
    </w:rPr>
  </w:style>
  <w:style w:type="paragraph" w:styleId="ListBullet4">
    <w:name w:val="List Bullet 4"/>
    <w:basedOn w:val="ListBullet3"/>
    <w:rsid w:val="008A32DC"/>
    <w:pPr>
      <w:numPr>
        <w:numId w:val="8"/>
      </w:numPr>
    </w:pPr>
  </w:style>
  <w:style w:type="paragraph" w:styleId="ListBullet5">
    <w:name w:val="List Bullet 5"/>
    <w:basedOn w:val="ListBullet4"/>
    <w:rsid w:val="008A32DC"/>
    <w:pPr>
      <w:numPr>
        <w:numId w:val="4"/>
      </w:numPr>
    </w:pPr>
  </w:style>
  <w:style w:type="paragraph" w:styleId="Footer">
    <w:name w:val="footer"/>
    <w:basedOn w:val="Header"/>
    <w:semiHidden/>
    <w:rsid w:val="008A32DC"/>
    <w:pPr>
      <w:jc w:val="center"/>
    </w:pPr>
    <w:rPr>
      <w:i/>
      <w:iCs/>
    </w:rPr>
  </w:style>
  <w:style w:type="paragraph" w:customStyle="1" w:styleId="Reference">
    <w:name w:val="Reference"/>
    <w:basedOn w:val="Normal"/>
    <w:rsid w:val="008A32DC"/>
    <w:pPr>
      <w:numPr>
        <w:numId w:val="2"/>
      </w:numPr>
    </w:pPr>
  </w:style>
  <w:style w:type="paragraph" w:styleId="BalloonText">
    <w:name w:val="Balloon Text"/>
    <w:basedOn w:val="Normal"/>
    <w:semiHidden/>
    <w:rsid w:val="008A32DC"/>
    <w:rPr>
      <w:rFonts w:ascii="Tahoma" w:hAnsi="Tahoma" w:cs="Tahoma"/>
      <w:sz w:val="16"/>
      <w:szCs w:val="16"/>
    </w:rPr>
  </w:style>
  <w:style w:type="character" w:styleId="PageNumber">
    <w:name w:val="page number"/>
    <w:basedOn w:val="DefaultParagraphFont"/>
    <w:semiHidden/>
    <w:rsid w:val="008A32DC"/>
  </w:style>
  <w:style w:type="paragraph" w:styleId="BodyText">
    <w:name w:val="Body Text"/>
    <w:basedOn w:val="Normal"/>
    <w:link w:val="BodyTextChar"/>
    <w:rsid w:val="008A32DC"/>
  </w:style>
  <w:style w:type="character" w:styleId="Hyperlink">
    <w:name w:val="Hyperlink"/>
    <w:uiPriority w:val="99"/>
    <w:rsid w:val="008A32DC"/>
    <w:rPr>
      <w:color w:val="0000FF"/>
      <w:u w:val="single"/>
      <w:lang w:val="en-GB"/>
    </w:rPr>
  </w:style>
  <w:style w:type="character" w:styleId="FollowedHyperlink">
    <w:name w:val="FollowedHyperlink"/>
    <w:semiHidden/>
    <w:rsid w:val="008A32DC"/>
    <w:rPr>
      <w:color w:val="FF0000"/>
      <w:u w:val="single"/>
    </w:rPr>
  </w:style>
  <w:style w:type="character" w:styleId="CommentReference">
    <w:name w:val="annotation reference"/>
    <w:semiHidden/>
    <w:rsid w:val="008A32DC"/>
    <w:rPr>
      <w:sz w:val="16"/>
      <w:szCs w:val="16"/>
    </w:rPr>
  </w:style>
  <w:style w:type="paragraph" w:styleId="CommentText">
    <w:name w:val="annotation text"/>
    <w:basedOn w:val="Normal"/>
    <w:semiHidden/>
    <w:rsid w:val="008A32DC"/>
  </w:style>
  <w:style w:type="paragraph" w:styleId="CommentSubject">
    <w:name w:val="annotation subject"/>
    <w:basedOn w:val="CommentText"/>
    <w:next w:val="CommentText"/>
    <w:semiHidden/>
    <w:rsid w:val="008A32DC"/>
    <w:rPr>
      <w:b/>
      <w:bCs/>
    </w:rPr>
  </w:style>
  <w:style w:type="character" w:customStyle="1" w:styleId="Heading1Char">
    <w:name w:val="Heading 1 Char"/>
    <w:link w:val="Heading1"/>
    <w:rsid w:val="008A32DC"/>
    <w:rPr>
      <w:rFonts w:ascii="Arial" w:hAnsi="Arial" w:cs="Arial"/>
      <w:sz w:val="36"/>
      <w:szCs w:val="36"/>
      <w:lang w:val="en-GB" w:eastAsia="zh-CN"/>
    </w:rPr>
  </w:style>
  <w:style w:type="paragraph" w:customStyle="1" w:styleId="B1">
    <w:name w:val="B1"/>
    <w:basedOn w:val="List"/>
    <w:link w:val="B1Char"/>
    <w:rsid w:val="008A32DC"/>
    <w:pPr>
      <w:spacing w:after="180"/>
    </w:pPr>
  </w:style>
  <w:style w:type="paragraph" w:customStyle="1" w:styleId="B2">
    <w:name w:val="B2"/>
    <w:basedOn w:val="List2"/>
    <w:link w:val="B2Char"/>
    <w:rsid w:val="008A32DC"/>
    <w:pPr>
      <w:spacing w:after="180"/>
    </w:pPr>
  </w:style>
  <w:style w:type="paragraph" w:customStyle="1" w:styleId="B3">
    <w:name w:val="B3"/>
    <w:basedOn w:val="List3"/>
    <w:rsid w:val="008A32DC"/>
    <w:pPr>
      <w:spacing w:after="180"/>
    </w:pPr>
  </w:style>
  <w:style w:type="paragraph" w:customStyle="1" w:styleId="B4">
    <w:name w:val="B4"/>
    <w:basedOn w:val="List4"/>
    <w:rsid w:val="008A32DC"/>
    <w:pPr>
      <w:spacing w:after="180"/>
    </w:pPr>
  </w:style>
  <w:style w:type="paragraph" w:customStyle="1" w:styleId="Proposal">
    <w:name w:val="Proposal"/>
    <w:basedOn w:val="Normal"/>
    <w:rsid w:val="008A32DC"/>
    <w:pPr>
      <w:numPr>
        <w:numId w:val="3"/>
      </w:numPr>
      <w:tabs>
        <w:tab w:val="clear" w:pos="1304"/>
        <w:tab w:val="left" w:pos="1701"/>
      </w:tabs>
      <w:ind w:left="1701" w:hanging="1701"/>
    </w:pPr>
    <w:rPr>
      <w:b/>
      <w:bCs/>
    </w:rPr>
  </w:style>
  <w:style w:type="character" w:customStyle="1" w:styleId="BodyTextChar">
    <w:name w:val="Body Text Char"/>
    <w:link w:val="BodyText"/>
    <w:rsid w:val="008A32DC"/>
    <w:rPr>
      <w:rFonts w:ascii="Arial" w:hAnsi="Arial"/>
      <w:lang w:val="en-GB" w:eastAsia="zh-CN"/>
    </w:rPr>
  </w:style>
  <w:style w:type="paragraph" w:customStyle="1" w:styleId="B5">
    <w:name w:val="B5"/>
    <w:basedOn w:val="List5"/>
    <w:rsid w:val="008A32DC"/>
    <w:pPr>
      <w:spacing w:after="180"/>
    </w:pPr>
  </w:style>
  <w:style w:type="paragraph" w:customStyle="1" w:styleId="EX">
    <w:name w:val="EX"/>
    <w:basedOn w:val="Normal"/>
    <w:rsid w:val="008A32DC"/>
    <w:pPr>
      <w:keepLines/>
      <w:spacing w:after="180"/>
      <w:ind w:left="1702" w:hanging="1418"/>
    </w:pPr>
  </w:style>
  <w:style w:type="paragraph" w:customStyle="1" w:styleId="EW">
    <w:name w:val="EW"/>
    <w:basedOn w:val="EX"/>
    <w:rsid w:val="008A32DC"/>
    <w:pPr>
      <w:spacing w:after="0"/>
    </w:pPr>
  </w:style>
  <w:style w:type="paragraph" w:customStyle="1" w:styleId="TAL">
    <w:name w:val="TAL"/>
    <w:basedOn w:val="Normal"/>
    <w:rsid w:val="008A32DC"/>
    <w:pPr>
      <w:keepNext/>
      <w:keepLines/>
    </w:pPr>
    <w:rPr>
      <w:sz w:val="18"/>
    </w:rPr>
  </w:style>
  <w:style w:type="paragraph" w:customStyle="1" w:styleId="TAC">
    <w:name w:val="TAC"/>
    <w:basedOn w:val="TAL"/>
    <w:rsid w:val="008A32DC"/>
    <w:pPr>
      <w:jc w:val="center"/>
    </w:pPr>
  </w:style>
  <w:style w:type="paragraph" w:customStyle="1" w:styleId="TAH">
    <w:name w:val="TAH"/>
    <w:basedOn w:val="TAC"/>
    <w:rsid w:val="008A32DC"/>
    <w:rPr>
      <w:b/>
    </w:rPr>
  </w:style>
  <w:style w:type="paragraph" w:customStyle="1" w:styleId="TAN">
    <w:name w:val="TAN"/>
    <w:basedOn w:val="TAL"/>
    <w:rsid w:val="008A32DC"/>
    <w:pPr>
      <w:ind w:left="851" w:hanging="851"/>
    </w:pPr>
  </w:style>
  <w:style w:type="paragraph" w:customStyle="1" w:styleId="TAR">
    <w:name w:val="TAR"/>
    <w:basedOn w:val="TAL"/>
    <w:rsid w:val="008A32DC"/>
    <w:pPr>
      <w:jc w:val="right"/>
    </w:pPr>
  </w:style>
  <w:style w:type="paragraph" w:customStyle="1" w:styleId="TH">
    <w:name w:val="TH"/>
    <w:basedOn w:val="Normal"/>
    <w:rsid w:val="008A32DC"/>
    <w:pPr>
      <w:keepNext/>
      <w:keepLines/>
      <w:spacing w:before="60" w:after="180"/>
      <w:jc w:val="center"/>
    </w:pPr>
    <w:rPr>
      <w:b/>
    </w:rPr>
  </w:style>
  <w:style w:type="paragraph" w:customStyle="1" w:styleId="TF">
    <w:name w:val="TF"/>
    <w:basedOn w:val="TH"/>
    <w:rsid w:val="008A32DC"/>
    <w:pPr>
      <w:keepNext w:val="0"/>
      <w:spacing w:before="0" w:after="240"/>
    </w:pPr>
  </w:style>
  <w:style w:type="paragraph" w:customStyle="1" w:styleId="TT">
    <w:name w:val="TT"/>
    <w:basedOn w:val="Heading1"/>
    <w:next w:val="Normal"/>
    <w:rsid w:val="008A32DC"/>
    <w:pPr>
      <w:numPr>
        <w:numId w:val="0"/>
      </w:numPr>
      <w:ind w:left="1134" w:hanging="1134"/>
      <w:outlineLvl w:val="9"/>
    </w:pPr>
    <w:rPr>
      <w:rFonts w:cs="Times New Roman"/>
      <w:szCs w:val="20"/>
      <w:lang w:eastAsia="en-US"/>
    </w:rPr>
  </w:style>
  <w:style w:type="paragraph" w:customStyle="1" w:styleId="ZA">
    <w:name w:val="ZA"/>
    <w:rsid w:val="008A32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2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32D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A32D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A32DC"/>
  </w:style>
  <w:style w:type="paragraph" w:customStyle="1" w:styleId="ZH">
    <w:name w:val="ZH"/>
    <w:rsid w:val="008A32D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A32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A32DC"/>
    <w:pPr>
      <w:framePr w:hRule="auto" w:wrap="notBeside" w:y="852"/>
    </w:pPr>
    <w:rPr>
      <w:i w:val="0"/>
      <w:sz w:val="40"/>
    </w:rPr>
  </w:style>
  <w:style w:type="paragraph" w:customStyle="1" w:styleId="ZU">
    <w:name w:val="ZU"/>
    <w:rsid w:val="008A32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32DC"/>
    <w:pPr>
      <w:framePr w:wrap="notBeside" w:y="16161"/>
    </w:pPr>
  </w:style>
  <w:style w:type="paragraph" w:customStyle="1" w:styleId="FP">
    <w:name w:val="FP"/>
    <w:basedOn w:val="Normal"/>
    <w:rsid w:val="008A32DC"/>
  </w:style>
  <w:style w:type="paragraph" w:customStyle="1" w:styleId="Observation">
    <w:name w:val="Observation"/>
    <w:basedOn w:val="Proposal"/>
    <w:qFormat/>
    <w:rsid w:val="008A32DC"/>
    <w:pPr>
      <w:numPr>
        <w:numId w:val="13"/>
      </w:numPr>
    </w:pPr>
  </w:style>
  <w:style w:type="paragraph" w:styleId="TableofFigures">
    <w:name w:val="table of figures"/>
    <w:basedOn w:val="Normal"/>
    <w:next w:val="Normal"/>
    <w:uiPriority w:val="99"/>
    <w:rsid w:val="008A32DC"/>
    <w:pPr>
      <w:ind w:left="1418" w:hanging="1418"/>
    </w:pPr>
    <w:rPr>
      <w:b/>
    </w:rPr>
  </w:style>
  <w:style w:type="paragraph" w:customStyle="1" w:styleId="Doc-text2">
    <w:name w:val="Doc-text2"/>
    <w:basedOn w:val="Normal"/>
    <w:link w:val="Doc-text2Char"/>
    <w:qFormat/>
    <w:rsid w:val="008A32DC"/>
    <w:pPr>
      <w:tabs>
        <w:tab w:val="left" w:pos="1622"/>
      </w:tabs>
      <w:ind w:left="1622" w:hanging="363"/>
    </w:pPr>
    <w:rPr>
      <w:rFonts w:eastAsia="MS Mincho"/>
      <w:lang w:eastAsia="en-GB"/>
    </w:rPr>
  </w:style>
  <w:style w:type="character" w:customStyle="1" w:styleId="Doc-text2Char">
    <w:name w:val="Doc-text2 Char"/>
    <w:link w:val="Doc-text2"/>
    <w:rsid w:val="008A32DC"/>
    <w:rPr>
      <w:rFonts w:ascii="Arial" w:eastAsia="MS Mincho" w:hAnsi="Arial"/>
      <w:szCs w:val="24"/>
      <w:lang w:val="en-GB" w:eastAsia="en-GB"/>
    </w:rPr>
  </w:style>
  <w:style w:type="paragraph" w:styleId="ListParagraph">
    <w:name w:val="List Paragraph"/>
    <w:basedOn w:val="Normal"/>
    <w:uiPriority w:val="34"/>
    <w:qFormat/>
    <w:rsid w:val="00F14BA2"/>
    <w:pPr>
      <w:ind w:left="720"/>
      <w:contextualSpacing/>
    </w:pPr>
  </w:style>
  <w:style w:type="character" w:customStyle="1" w:styleId="B1Char">
    <w:name w:val="B1 Char"/>
    <w:link w:val="B1"/>
    <w:rsid w:val="0053386C"/>
    <w:rPr>
      <w:rFonts w:ascii="Arial" w:hAnsi="Arial"/>
      <w:lang w:val="en-GB"/>
    </w:rPr>
  </w:style>
  <w:style w:type="character" w:customStyle="1" w:styleId="B2Char">
    <w:name w:val="B2 Char"/>
    <w:link w:val="B2"/>
    <w:rsid w:val="00926E6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8017">
      <w:bodyDiv w:val="1"/>
      <w:marLeft w:val="0"/>
      <w:marRight w:val="0"/>
      <w:marTop w:val="0"/>
      <w:marBottom w:val="0"/>
      <w:divBdr>
        <w:top w:val="none" w:sz="0" w:space="0" w:color="auto"/>
        <w:left w:val="none" w:sz="0" w:space="0" w:color="auto"/>
        <w:bottom w:val="none" w:sz="0" w:space="0" w:color="auto"/>
        <w:right w:val="none" w:sz="0" w:space="0" w:color="auto"/>
      </w:divBdr>
    </w:div>
    <w:div w:id="81410636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7819692">
      <w:bodyDiv w:val="1"/>
      <w:marLeft w:val="0"/>
      <w:marRight w:val="0"/>
      <w:marTop w:val="0"/>
      <w:marBottom w:val="0"/>
      <w:divBdr>
        <w:top w:val="none" w:sz="0" w:space="0" w:color="auto"/>
        <w:left w:val="none" w:sz="0" w:space="0" w:color="auto"/>
        <w:bottom w:val="none" w:sz="0" w:space="0" w:color="auto"/>
        <w:right w:val="none" w:sz="0" w:space="0" w:color="auto"/>
      </w:divBdr>
    </w:div>
    <w:div w:id="205399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5NUHHDQN7SK2-1-178360</_dlc_DocId>
    <_dlc_DocIdUrl xmlns="08b2df90-05d3-4030-90d4-c9feeb4a1cd9">
      <Url>https://ericoll.internal.ericsson.com/sites/star/_layouts/DocIdRedir.aspx?ID=5NUHHDQN7SK2-1-178360</Url>
      <Description>5NUHHDQN7SK2-1-178360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F4FD85D9-0136-DA42-B59F-846DC8BA1084}"/>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4917</Characters>
  <Application>Microsoft Macintosh Word</Application>
  <DocSecurity>0</DocSecurity>
  <Lines>84</Lines>
  <Paragraphs>42</Paragraphs>
  <ScaleCrop>false</ScaleCrop>
  <HeadingPairs>
    <vt:vector size="2" baseType="variant">
      <vt:variant>
        <vt:lpstr>Title</vt:lpstr>
      </vt:variant>
      <vt:variant>
        <vt:i4>1</vt:i4>
      </vt:variant>
    </vt:vector>
  </HeadingPairs>
  <TitlesOfParts>
    <vt:vector size="1" baseType="lpstr">
      <vt:lpstr>SPS enhancements in NR</vt:lpstr>
    </vt:vector>
  </TitlesOfParts>
  <Manager/>
  <Company/>
  <LinksUpToDate>false</LinksUpToDate>
  <CharactersWithSpaces>5848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enhancements in NR</dc:title>
  <dc:subject/>
  <dc:creator/>
  <cp:keywords>Ericsson; TDoc; 3GPP</cp:keywords>
  <cp:lastModifiedBy/>
  <cp:revision>1</cp:revision>
  <cp:lastPrinted>2008-01-31T16:09:00Z</cp:lastPrinted>
  <dcterms:created xsi:type="dcterms:W3CDTF">2017-07-10T09:12:00Z</dcterms:created>
  <dcterms:modified xsi:type="dcterms:W3CDTF">2017-08-11T16:28:00Z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a29a147a-331a-4cce-b7f0-07ada0056a9b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